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77FCC">
      <w:pPr>
        <w:pStyle w:val="12"/>
        <w:numPr>
          <w:ilvl w:val="0"/>
          <w:numId w:val="0"/>
        </w:numPr>
        <w:jc w:val="center"/>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惠州市</w:t>
      </w:r>
      <w:r>
        <w:rPr>
          <w:rFonts w:hint="eastAsia" w:asciiTheme="minorEastAsia" w:hAnsiTheme="minorEastAsia" w:eastAsiaTheme="minorEastAsia"/>
          <w:color w:val="auto"/>
          <w:sz w:val="32"/>
          <w:szCs w:val="32"/>
        </w:rPr>
        <w:t>惠阳区中医院A栋四楼氧气管道系统、负压系统 及医护呼叫系统项目</w:t>
      </w:r>
    </w:p>
    <w:p w14:paraId="17803493">
      <w:pPr>
        <w:rPr>
          <w:rFonts w:hint="eastAsia" w:asciiTheme="minorEastAsia" w:hAnsiTheme="minorEastAsia" w:eastAsiaTheme="minorEastAsia"/>
          <w:color w:val="auto"/>
          <w:sz w:val="32"/>
          <w:szCs w:val="32"/>
        </w:rPr>
      </w:pPr>
    </w:p>
    <w:p w14:paraId="15F8590A">
      <w:pPr>
        <w:rPr>
          <w:rFonts w:hint="eastAsia" w:asciiTheme="minorEastAsia" w:hAnsiTheme="minorEastAsia" w:eastAsiaTheme="minorEastAsia"/>
          <w:color w:val="auto"/>
          <w:sz w:val="32"/>
          <w:szCs w:val="32"/>
        </w:rPr>
      </w:pPr>
    </w:p>
    <w:p w14:paraId="36B321D5">
      <w:pPr>
        <w:rPr>
          <w:rFonts w:hint="eastAsia" w:asciiTheme="minorEastAsia" w:hAnsiTheme="minorEastAsia" w:eastAsiaTheme="minorEastAsia"/>
          <w:color w:val="auto"/>
          <w:sz w:val="32"/>
          <w:szCs w:val="32"/>
        </w:rPr>
      </w:pPr>
    </w:p>
    <w:p w14:paraId="289143BF">
      <w:pPr>
        <w:rPr>
          <w:rFonts w:hint="eastAsia" w:asciiTheme="minorEastAsia" w:hAnsiTheme="minorEastAsia" w:eastAsiaTheme="minorEastAsia"/>
          <w:color w:val="auto"/>
          <w:sz w:val="32"/>
          <w:szCs w:val="32"/>
        </w:rPr>
      </w:pPr>
    </w:p>
    <w:p w14:paraId="74A67104">
      <w:pPr>
        <w:jc w:val="center"/>
        <w:rPr>
          <w:rFonts w:hint="eastAsia" w:eastAsiaTheme="minorEastAsia"/>
          <w:b/>
          <w:bCs/>
          <w:color w:val="auto"/>
          <w:sz w:val="36"/>
          <w:szCs w:val="36"/>
          <w:lang w:val="en-US" w:eastAsia="zh-CN"/>
        </w:rPr>
      </w:pPr>
      <w:r>
        <w:rPr>
          <w:rFonts w:hint="eastAsia" w:eastAsiaTheme="minorEastAsia"/>
          <w:b/>
          <w:bCs/>
          <w:color w:val="auto"/>
          <w:sz w:val="36"/>
          <w:szCs w:val="36"/>
          <w:lang w:val="en-US" w:eastAsia="zh-CN"/>
        </w:rPr>
        <w:t>用</w:t>
      </w:r>
    </w:p>
    <w:p w14:paraId="05B6CD8B">
      <w:pPr>
        <w:jc w:val="center"/>
        <w:rPr>
          <w:rFonts w:hint="eastAsia" w:eastAsiaTheme="minorEastAsia"/>
          <w:b/>
          <w:bCs/>
          <w:color w:val="auto"/>
          <w:sz w:val="36"/>
          <w:szCs w:val="36"/>
          <w:lang w:val="en-US" w:eastAsia="zh-CN"/>
        </w:rPr>
      </w:pPr>
      <w:r>
        <w:rPr>
          <w:rFonts w:hint="eastAsia" w:eastAsiaTheme="minorEastAsia"/>
          <w:b/>
          <w:bCs/>
          <w:color w:val="auto"/>
          <w:sz w:val="36"/>
          <w:szCs w:val="36"/>
          <w:lang w:val="en-US" w:eastAsia="zh-CN"/>
        </w:rPr>
        <w:t>户</w:t>
      </w:r>
    </w:p>
    <w:p w14:paraId="598992C7">
      <w:pPr>
        <w:jc w:val="center"/>
        <w:rPr>
          <w:rFonts w:hint="eastAsia" w:eastAsiaTheme="minorEastAsia"/>
          <w:b/>
          <w:bCs/>
          <w:color w:val="auto"/>
          <w:sz w:val="36"/>
          <w:szCs w:val="36"/>
          <w:lang w:val="en-US" w:eastAsia="zh-CN"/>
        </w:rPr>
      </w:pPr>
      <w:r>
        <w:rPr>
          <w:rFonts w:hint="eastAsia" w:eastAsiaTheme="minorEastAsia"/>
          <w:b/>
          <w:bCs/>
          <w:color w:val="auto"/>
          <w:sz w:val="36"/>
          <w:szCs w:val="36"/>
          <w:lang w:val="en-US" w:eastAsia="zh-CN"/>
        </w:rPr>
        <w:t>需</w:t>
      </w:r>
    </w:p>
    <w:p w14:paraId="0B4E9E6D">
      <w:pPr>
        <w:jc w:val="center"/>
        <w:rPr>
          <w:rFonts w:hint="eastAsia" w:eastAsiaTheme="minorEastAsia"/>
          <w:b/>
          <w:bCs/>
          <w:color w:val="auto"/>
          <w:sz w:val="36"/>
          <w:szCs w:val="36"/>
          <w:lang w:val="en-US" w:eastAsia="zh-CN"/>
        </w:rPr>
      </w:pPr>
      <w:r>
        <w:rPr>
          <w:rFonts w:hint="eastAsia" w:eastAsiaTheme="minorEastAsia"/>
          <w:b/>
          <w:bCs/>
          <w:color w:val="auto"/>
          <w:sz w:val="36"/>
          <w:szCs w:val="36"/>
          <w:lang w:val="en-US" w:eastAsia="zh-CN"/>
        </w:rPr>
        <w:t>求</w:t>
      </w:r>
    </w:p>
    <w:p w14:paraId="79F1A03D">
      <w:pPr>
        <w:jc w:val="center"/>
        <w:rPr>
          <w:rFonts w:hint="eastAsia" w:eastAsiaTheme="minorEastAsia"/>
          <w:b/>
          <w:bCs/>
          <w:color w:val="auto"/>
          <w:sz w:val="36"/>
          <w:szCs w:val="36"/>
          <w:lang w:val="en-US" w:eastAsia="zh-CN"/>
        </w:rPr>
      </w:pPr>
      <w:r>
        <w:rPr>
          <w:rFonts w:hint="eastAsia" w:eastAsiaTheme="minorEastAsia"/>
          <w:b/>
          <w:bCs/>
          <w:color w:val="auto"/>
          <w:sz w:val="36"/>
          <w:szCs w:val="36"/>
          <w:lang w:val="en-US" w:eastAsia="zh-CN"/>
        </w:rPr>
        <w:t>书</w:t>
      </w:r>
    </w:p>
    <w:p w14:paraId="71527B78">
      <w:pPr>
        <w:jc w:val="center"/>
        <w:rPr>
          <w:rFonts w:hint="eastAsia" w:eastAsiaTheme="minorEastAsia"/>
          <w:b/>
          <w:bCs/>
          <w:color w:val="auto"/>
          <w:sz w:val="36"/>
          <w:szCs w:val="36"/>
          <w:lang w:val="en-US" w:eastAsia="zh-CN"/>
        </w:rPr>
      </w:pPr>
    </w:p>
    <w:p w14:paraId="64726329">
      <w:pPr>
        <w:jc w:val="center"/>
        <w:rPr>
          <w:rFonts w:hint="eastAsia" w:eastAsiaTheme="minorEastAsia"/>
          <w:b/>
          <w:bCs/>
          <w:color w:val="auto"/>
          <w:sz w:val="36"/>
          <w:szCs w:val="36"/>
          <w:lang w:val="en-US" w:eastAsia="zh-CN"/>
        </w:rPr>
      </w:pPr>
    </w:p>
    <w:p w14:paraId="4614EE83">
      <w:pPr>
        <w:jc w:val="center"/>
        <w:rPr>
          <w:rFonts w:hint="eastAsia" w:eastAsiaTheme="minorEastAsia"/>
          <w:b/>
          <w:bCs/>
          <w:color w:val="auto"/>
          <w:sz w:val="36"/>
          <w:szCs w:val="36"/>
          <w:lang w:val="en-US" w:eastAsia="zh-CN"/>
        </w:rPr>
      </w:pPr>
    </w:p>
    <w:p w14:paraId="57AE58A4">
      <w:pPr>
        <w:jc w:val="center"/>
        <w:rPr>
          <w:rFonts w:hint="eastAsia" w:eastAsiaTheme="minorEastAsia"/>
          <w:b/>
          <w:bCs/>
          <w:color w:val="auto"/>
          <w:sz w:val="36"/>
          <w:szCs w:val="36"/>
          <w:lang w:val="en-US" w:eastAsia="zh-CN"/>
        </w:rPr>
      </w:pPr>
    </w:p>
    <w:p w14:paraId="3C061932">
      <w:pPr>
        <w:jc w:val="center"/>
        <w:rPr>
          <w:rFonts w:hint="default" w:cs="Times New Roman" w:asciiTheme="minorEastAsia" w:hAnsiTheme="minorEastAsia" w:eastAsiaTheme="minorEastAsia"/>
          <w:b/>
          <w:bCs/>
          <w:color w:val="auto"/>
          <w:kern w:val="0"/>
          <w:sz w:val="32"/>
          <w:szCs w:val="32"/>
          <w:lang w:val="en-US" w:eastAsia="zh-CN" w:bidi="ar-SA"/>
        </w:rPr>
      </w:pPr>
      <w:r>
        <w:rPr>
          <w:rFonts w:hint="eastAsia" w:cs="Times New Roman" w:asciiTheme="minorEastAsia" w:hAnsiTheme="minorEastAsia" w:eastAsiaTheme="minorEastAsia"/>
          <w:b/>
          <w:bCs/>
          <w:color w:val="auto"/>
          <w:kern w:val="0"/>
          <w:sz w:val="32"/>
          <w:szCs w:val="32"/>
          <w:lang w:val="en-US" w:eastAsia="zh-CN" w:bidi="ar-SA"/>
        </w:rPr>
        <w:t>采购单位：惠州市惠阳区中医院</w:t>
      </w:r>
    </w:p>
    <w:p w14:paraId="07B7A7B4">
      <w:pPr>
        <w:pStyle w:val="12"/>
        <w:numPr>
          <w:ilvl w:val="0"/>
          <w:numId w:val="0"/>
        </w:numPr>
        <w:kinsoku/>
        <w:wordWrap/>
        <w:overflowPunct/>
        <w:topLinePunct w:val="0"/>
        <w:autoSpaceDE/>
        <w:autoSpaceDN/>
        <w:bidi w:val="0"/>
        <w:adjustRightInd/>
        <w:spacing w:line="360" w:lineRule="auto"/>
        <w:jc w:val="center"/>
        <w:rPr>
          <w:rFonts w:hint="eastAsia"/>
          <w:color w:val="auto"/>
        </w:rPr>
      </w:pPr>
      <w:r>
        <w:rPr>
          <w:rFonts w:hint="eastAsia" w:asciiTheme="minorEastAsia" w:hAnsiTheme="minorEastAsia" w:eastAsiaTheme="minorEastAsia"/>
          <w:color w:val="auto"/>
          <w:lang w:val="en-US" w:eastAsia="zh-CN"/>
        </w:rPr>
        <w:t>第一章  采购</w:t>
      </w:r>
      <w:r>
        <w:rPr>
          <w:rFonts w:hint="eastAsia" w:asciiTheme="minorEastAsia" w:hAnsiTheme="minorEastAsia" w:eastAsiaTheme="minorEastAsia"/>
          <w:color w:val="auto"/>
        </w:rPr>
        <w:t>需求</w:t>
      </w:r>
    </w:p>
    <w:p w14:paraId="5C21AB26">
      <w:pPr>
        <w:kinsoku/>
        <w:wordWrap/>
        <w:overflowPunct/>
        <w:topLinePunct w:val="0"/>
        <w:autoSpaceDE/>
        <w:autoSpaceDN/>
        <w:bidi w:val="0"/>
        <w:adjustRightInd/>
        <w:spacing w:line="360" w:lineRule="auto"/>
        <w:ind w:firstLine="460" w:firstLineChars="218"/>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val="en-US" w:eastAsia="zh-CN"/>
        </w:rPr>
        <w:t>一</w:t>
      </w:r>
      <w:r>
        <w:rPr>
          <w:rFonts w:hint="eastAsia" w:asciiTheme="minorEastAsia" w:hAnsiTheme="minorEastAsia" w:eastAsiaTheme="minorEastAsia"/>
          <w:b/>
          <w:color w:val="auto"/>
          <w:sz w:val="21"/>
          <w:szCs w:val="21"/>
        </w:rPr>
        <w:t>、 项目概况</w:t>
      </w:r>
    </w:p>
    <w:p w14:paraId="011DB8E6">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1、惠阳区中医院A栋四楼氧气管道系统、负压系统 及医护呼叫系统项目，本次改造主要包括：</w:t>
      </w:r>
    </w:p>
    <w:p w14:paraId="0AB2AFE6">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1.1</w:t>
      </w:r>
      <w:r>
        <w:rPr>
          <w:rFonts w:hint="eastAsia" w:asciiTheme="minorEastAsia" w:hAnsiTheme="minorEastAsia" w:eastAsiaTheme="minorEastAsia"/>
          <w:bCs/>
          <w:color w:val="auto"/>
          <w:sz w:val="21"/>
          <w:szCs w:val="21"/>
          <w:lang w:val="en-US" w:eastAsia="zh-CN"/>
        </w:rPr>
        <w:t>A栋四楼新增医用气体及医用传呼</w:t>
      </w:r>
      <w:r>
        <w:rPr>
          <w:rFonts w:hint="eastAsia" w:asciiTheme="minorEastAsia" w:hAnsiTheme="minorEastAsia" w:eastAsiaTheme="minorEastAsia"/>
          <w:bCs/>
          <w:color w:val="auto"/>
          <w:sz w:val="21"/>
          <w:szCs w:val="21"/>
        </w:rPr>
        <w:t>。</w:t>
      </w:r>
    </w:p>
    <w:p w14:paraId="682A6504">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2</w:t>
      </w:r>
      <w:r>
        <w:rPr>
          <w:rFonts w:hint="eastAsia" w:asciiTheme="minorEastAsia" w:hAnsiTheme="minorEastAsia" w:eastAsiaTheme="minorEastAsia"/>
          <w:bCs/>
          <w:color w:val="auto"/>
          <w:sz w:val="21"/>
          <w:szCs w:val="21"/>
        </w:rPr>
        <w:t>包含</w:t>
      </w:r>
      <w:r>
        <w:rPr>
          <w:rFonts w:hint="eastAsia" w:asciiTheme="minorEastAsia" w:hAnsiTheme="minorEastAsia" w:eastAsiaTheme="minorEastAsia"/>
          <w:bCs/>
          <w:color w:val="auto"/>
          <w:sz w:val="21"/>
          <w:szCs w:val="21"/>
          <w:lang w:val="en-US" w:eastAsia="zh-CN"/>
        </w:rPr>
        <w:t>4</w:t>
      </w:r>
      <w:r>
        <w:rPr>
          <w:rFonts w:hint="eastAsia" w:asciiTheme="minorEastAsia" w:hAnsiTheme="minorEastAsia" w:eastAsiaTheme="minorEastAsia"/>
          <w:bCs/>
          <w:color w:val="auto"/>
          <w:sz w:val="21"/>
          <w:szCs w:val="21"/>
        </w:rPr>
        <w:t>个系统：中心供氧系统、负压吸引系统、终端设备带系统、医用传呼系统。</w:t>
      </w:r>
    </w:p>
    <w:p w14:paraId="2F3B5336">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2、项目具体内容如下：</w:t>
      </w:r>
    </w:p>
    <w:p w14:paraId="4EF11A01">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2.1医用氧气供应系统：包含本系统</w:t>
      </w:r>
      <w:r>
        <w:rPr>
          <w:rFonts w:hint="eastAsia" w:asciiTheme="minorEastAsia" w:hAnsiTheme="minorEastAsia" w:eastAsiaTheme="minorEastAsia"/>
          <w:bCs/>
          <w:color w:val="auto"/>
          <w:sz w:val="21"/>
          <w:szCs w:val="21"/>
          <w:lang w:eastAsia="zh-CN"/>
        </w:rPr>
        <w:t>供氧</w:t>
      </w:r>
      <w:r>
        <w:rPr>
          <w:rFonts w:hint="eastAsia" w:asciiTheme="minorEastAsia" w:hAnsiTheme="minorEastAsia" w:eastAsiaTheme="minorEastAsia"/>
          <w:bCs/>
          <w:color w:val="auto"/>
          <w:sz w:val="21"/>
          <w:szCs w:val="21"/>
        </w:rPr>
        <w:t>管道、各用气点气体终端设备的采购、安装、管道吹扫、试压、气密性试验、系统调试。</w:t>
      </w:r>
    </w:p>
    <w:p w14:paraId="189562A4">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2.2医用真空供应系统：包含本系统阀门、管道、各用气点气体终端设备的采购、安装、管道吹扫、试压、气密性试验、系统调试。</w:t>
      </w:r>
    </w:p>
    <w:p w14:paraId="2B804EDD">
      <w:pPr>
        <w:kinsoku/>
        <w:wordWrap/>
        <w:overflowPunct/>
        <w:topLinePunct w:val="0"/>
        <w:autoSpaceDE/>
        <w:autoSpaceDN/>
        <w:bidi w:val="0"/>
        <w:adjustRightInd/>
        <w:spacing w:line="360" w:lineRule="auto"/>
        <w:ind w:firstLine="457" w:firstLineChars="218"/>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w:t>
      </w:r>
      <w:r>
        <w:rPr>
          <w:rFonts w:hint="eastAsia" w:asciiTheme="minorEastAsia" w:hAnsiTheme="minorEastAsia" w:eastAsiaTheme="minorEastAsia"/>
          <w:bCs/>
          <w:color w:val="auto"/>
          <w:sz w:val="21"/>
          <w:szCs w:val="21"/>
          <w:lang w:val="en-US" w:eastAsia="zh-CN"/>
        </w:rPr>
        <w:t>3</w:t>
      </w:r>
      <w:r>
        <w:rPr>
          <w:rFonts w:hint="eastAsia" w:asciiTheme="minorEastAsia" w:hAnsiTheme="minorEastAsia" w:eastAsiaTheme="minorEastAsia"/>
          <w:bCs/>
          <w:color w:val="auto"/>
          <w:sz w:val="21"/>
          <w:szCs w:val="21"/>
        </w:rPr>
        <w:t>病房设备带：包括病房设备带配套电器和终端设备的采购安装调试。</w:t>
      </w:r>
    </w:p>
    <w:p w14:paraId="2916D10B">
      <w:pPr>
        <w:kinsoku/>
        <w:wordWrap/>
        <w:overflowPunct/>
        <w:topLinePunct w:val="0"/>
        <w:autoSpaceDE/>
        <w:autoSpaceDN/>
        <w:bidi w:val="0"/>
        <w:adjustRightInd/>
        <w:spacing w:line="360" w:lineRule="auto"/>
        <w:ind w:firstLine="457" w:firstLineChars="218"/>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w:t>
      </w:r>
      <w:r>
        <w:rPr>
          <w:rFonts w:hint="eastAsia" w:asciiTheme="minorEastAsia" w:hAnsiTheme="minorEastAsia" w:eastAsiaTheme="minorEastAsia"/>
          <w:bCs/>
          <w:color w:val="auto"/>
          <w:sz w:val="21"/>
          <w:szCs w:val="21"/>
          <w:lang w:val="en-US" w:eastAsia="zh-CN"/>
        </w:rPr>
        <w:t>4</w:t>
      </w:r>
      <w:r>
        <w:rPr>
          <w:rFonts w:hint="eastAsia" w:asciiTheme="minorEastAsia" w:hAnsiTheme="minorEastAsia" w:eastAsiaTheme="minorEastAsia"/>
          <w:bCs/>
          <w:color w:val="auto"/>
          <w:sz w:val="21"/>
          <w:szCs w:val="21"/>
        </w:rPr>
        <w:t>医用传呼系统：包括本系统所有的管线及各床位设备的采购安装调试。</w:t>
      </w:r>
    </w:p>
    <w:p w14:paraId="27A3B97C">
      <w:pPr>
        <w:numPr>
          <w:ilvl w:val="0"/>
          <w:numId w:val="2"/>
        </w:numPr>
        <w:kinsoku/>
        <w:wordWrap/>
        <w:overflowPunct/>
        <w:topLinePunct w:val="0"/>
        <w:autoSpaceDE/>
        <w:autoSpaceDN/>
        <w:bidi w:val="0"/>
        <w:adjustRightInd/>
        <w:spacing w:line="360" w:lineRule="auto"/>
        <w:ind w:firstLine="460" w:firstLineChars="218"/>
        <w:rPr>
          <w:rFonts w:hint="eastAsia" w:asciiTheme="minorEastAsia" w:hAnsiTheme="minorEastAsia" w:eastAsiaTheme="minorEastAsia"/>
          <w:b/>
          <w:color w:val="auto"/>
          <w:sz w:val="21"/>
          <w:szCs w:val="21"/>
          <w:lang w:val="en-US" w:eastAsia="zh-CN"/>
        </w:rPr>
      </w:pPr>
      <w:r>
        <w:rPr>
          <w:rFonts w:hint="eastAsia" w:asciiTheme="minorEastAsia" w:hAnsiTheme="minorEastAsia" w:eastAsiaTheme="minorEastAsia"/>
          <w:b/>
          <w:color w:val="auto"/>
          <w:sz w:val="21"/>
          <w:szCs w:val="21"/>
          <w:lang w:val="en-US" w:eastAsia="zh-CN"/>
        </w:rPr>
        <w:t>资格要求</w:t>
      </w:r>
    </w:p>
    <w:p w14:paraId="7E02D963">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1.具备《中华人民共和国政府采购法》第二十二条规定的条件，并提供以下证明文件：</w:t>
      </w:r>
    </w:p>
    <w:p w14:paraId="7E7FA772">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（1）具有独立承担民事责任的能力：在中华人民共和国境内注册的法人或其他组织或自然人，提交有效的营业执照（或事业法人登记证或身份证等相关证明）副本复印件；</w:t>
      </w:r>
    </w:p>
    <w:p w14:paraId="1A1BCC37">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（2）具有履约所必须的设备和专业技术能力：供应商必须提供声明函，格式自拟；</w:t>
      </w:r>
    </w:p>
    <w:p w14:paraId="63E391ED">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3）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格式自拟。</w:t>
      </w:r>
    </w:p>
    <w:p w14:paraId="30AA6A25">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2.信用记录：</w:t>
      </w:r>
    </w:p>
    <w:p w14:paraId="3AEC3FFD">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w:t>
      </w:r>
    </w:p>
    <w:p w14:paraId="04D6DAFD">
      <w:pPr>
        <w:numPr>
          <w:ilvl w:val="0"/>
          <w:numId w:val="0"/>
        </w:numPr>
        <w:kinsoku/>
        <w:wordWrap/>
        <w:overflowPunct/>
        <w:topLinePunct w:val="0"/>
        <w:autoSpaceDE/>
        <w:autoSpaceDN/>
        <w:bidi w:val="0"/>
        <w:adjustRightInd/>
        <w:spacing w:line="360" w:lineRule="auto"/>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（供应商需提供相关证明资料，必要时资格审查人员可到相关网站查询核实。）</w:t>
      </w:r>
    </w:p>
    <w:p w14:paraId="6D3015BF">
      <w:pPr>
        <w:numPr>
          <w:ilvl w:val="0"/>
          <w:numId w:val="0"/>
        </w:numPr>
        <w:kinsoku/>
        <w:wordWrap/>
        <w:overflowPunct/>
        <w:topLinePunct w:val="0"/>
        <w:autoSpaceDE/>
        <w:autoSpaceDN/>
        <w:bidi w:val="0"/>
        <w:adjustRightInd/>
        <w:spacing w:line="360" w:lineRule="auto"/>
        <w:ind w:firstLine="420" w:firstLineChars="200"/>
        <w:jc w:val="left"/>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②个体经营：供应商在国家企业信用信息公示系统(https://www.gsxt.gov.cn/corp-query-homepage.html)查询，“行政处罚信息”一年内无处罚信息并不处于“经营异常信息”经营异常状态。（供应商需提供相关证明资料，必要时资格审查人员可到相关网站查询核实。）</w:t>
      </w:r>
    </w:p>
    <w:p w14:paraId="03EDE59F">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3.供应商必须符合法律、行政法规规定的其他条件：单位负责人为同一人或者存在直接控股、管理关系的不同供应商，不得同时参加本采购项目（包组）投标。供应商必须提供声明函，格式自拟。</w:t>
      </w:r>
    </w:p>
    <w:p w14:paraId="6A8E3AFE">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4.本项目不接受联合体投标，不接受分包转包。供应商必须提供声明函，格式自拟。</w:t>
      </w:r>
    </w:p>
    <w:p w14:paraId="25DCB0B4">
      <w:pPr>
        <w:numPr>
          <w:ilvl w:val="0"/>
          <w:numId w:val="0"/>
        </w:numPr>
        <w:kinsoku/>
        <w:wordWrap/>
        <w:overflowPunct/>
        <w:topLinePunct w:val="0"/>
        <w:autoSpaceDE/>
        <w:autoSpaceDN/>
        <w:bidi w:val="0"/>
        <w:adjustRightInd/>
        <w:spacing w:line="360" w:lineRule="auto"/>
        <w:ind w:firstLine="420" w:firstLineChars="200"/>
        <w:rPr>
          <w:rFonts w:hint="default" w:asciiTheme="minorEastAsia" w:hAnsiTheme="minorEastAsia" w:eastAsiaTheme="minorEastAsia"/>
          <w:bCs/>
          <w:color w:val="auto"/>
          <w:sz w:val="21"/>
          <w:szCs w:val="21"/>
          <w:lang w:val="en-US" w:eastAsia="zh-CN"/>
        </w:rPr>
      </w:pPr>
      <w:r>
        <w:rPr>
          <w:rFonts w:hint="default" w:asciiTheme="minorEastAsia" w:hAnsiTheme="minorEastAsia" w:eastAsiaTheme="minorEastAsia"/>
          <w:bCs/>
          <w:color w:val="auto"/>
          <w:sz w:val="21"/>
          <w:szCs w:val="21"/>
          <w:lang w:val="en-US" w:eastAsia="zh-CN"/>
        </w:rPr>
        <w:t>5.特殊资质要求：所投产品为第一类医疗器械，提供有效的《医疗器械生产备案凭证》复印件；所投产品为第二、三类医疗器械，提供有效的《医疗器械生产企业许可证》或《医疗器械生产许可证》复印件；（如国家另有规定，则适用其规定）；投标人为代理商或经销商：所投产品为第二类医疗器械，提供有效的《医疗器械经营备案凭证》复印件；所投产品为第三类医疗器械，提供有效的《医疗器械经营企业许可证》或《医疗器械经营许可证》复印件；（如国家另有规定，则适用其规定）</w:t>
      </w:r>
    </w:p>
    <w:p w14:paraId="28DD76F8">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lang w:val="en-US" w:eastAsia="zh-CN"/>
        </w:rPr>
        <w:t>三</w:t>
      </w:r>
      <w:r>
        <w:rPr>
          <w:rFonts w:hint="eastAsia" w:asciiTheme="minorEastAsia" w:hAnsiTheme="minorEastAsia" w:eastAsiaTheme="minorEastAsia"/>
          <w:b/>
          <w:bCs/>
          <w:color w:val="auto"/>
          <w:sz w:val="21"/>
          <w:szCs w:val="21"/>
        </w:rPr>
        <w:t>、商务要求</w:t>
      </w:r>
    </w:p>
    <w:p w14:paraId="1B2AEFBB">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（一）</w:t>
      </w:r>
      <w:r>
        <w:rPr>
          <w:rFonts w:hint="eastAsia" w:asciiTheme="minorEastAsia" w:hAnsiTheme="minorEastAsia" w:eastAsiaTheme="minorEastAsia"/>
          <w:b/>
          <w:bCs/>
          <w:color w:val="auto"/>
          <w:sz w:val="21"/>
          <w:szCs w:val="21"/>
          <w:lang w:val="en-US" w:eastAsia="zh-CN"/>
        </w:rPr>
        <w:t>交货</w:t>
      </w:r>
      <w:r>
        <w:rPr>
          <w:rFonts w:hint="eastAsia" w:asciiTheme="minorEastAsia" w:hAnsiTheme="minorEastAsia" w:eastAsiaTheme="minorEastAsia"/>
          <w:b/>
          <w:bCs/>
          <w:color w:val="auto"/>
          <w:sz w:val="21"/>
          <w:szCs w:val="21"/>
        </w:rPr>
        <w:t>期</w:t>
      </w:r>
    </w:p>
    <w:p w14:paraId="1555F01F">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1、交付使用时间：按采购人要求分区域、配合专修改造进度安装，收到开工令日起</w:t>
      </w:r>
      <w:r>
        <w:rPr>
          <w:rFonts w:hint="eastAsia" w:asciiTheme="minorEastAsia" w:hAnsiTheme="minorEastAsia" w:eastAsiaTheme="minorEastAsia"/>
          <w:bCs/>
          <w:color w:val="auto"/>
          <w:sz w:val="21"/>
          <w:szCs w:val="21"/>
          <w:lang w:val="en-US" w:eastAsia="zh-CN"/>
        </w:rPr>
        <w:t>20</w:t>
      </w:r>
      <w:r>
        <w:rPr>
          <w:rFonts w:hint="eastAsia" w:asciiTheme="minorEastAsia" w:hAnsiTheme="minorEastAsia" w:eastAsiaTheme="minorEastAsia"/>
          <w:bCs/>
          <w:color w:val="auto"/>
          <w:sz w:val="21"/>
          <w:szCs w:val="21"/>
        </w:rPr>
        <w:t>天（日历日）内完成相应区域整体安装、调试。</w:t>
      </w:r>
    </w:p>
    <w:p w14:paraId="0EB5A992">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2、交货地点：采购人指定地点。</w:t>
      </w:r>
    </w:p>
    <w:p w14:paraId="31F58FB7">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asciiTheme="minorEastAsia" w:hAnsiTheme="minorEastAsia" w:eastAsiaTheme="minorEastAsia"/>
          <w:b/>
          <w:bCs/>
          <w:color w:val="auto"/>
          <w:sz w:val="21"/>
          <w:szCs w:val="21"/>
          <w:highlight w:val="none"/>
        </w:rPr>
      </w:pPr>
      <w:r>
        <w:rPr>
          <w:rFonts w:hint="eastAsia" w:asciiTheme="minorEastAsia" w:hAnsiTheme="minorEastAsia" w:eastAsiaTheme="minorEastAsia"/>
          <w:b/>
          <w:bCs/>
          <w:color w:val="auto"/>
          <w:sz w:val="21"/>
          <w:szCs w:val="21"/>
          <w:highlight w:val="none"/>
        </w:rPr>
        <w:t>（</w:t>
      </w:r>
      <w:r>
        <w:rPr>
          <w:rFonts w:hint="eastAsia" w:asciiTheme="minorEastAsia" w:hAnsiTheme="minorEastAsia" w:eastAsiaTheme="minorEastAsia"/>
          <w:b/>
          <w:bCs/>
          <w:color w:val="auto"/>
          <w:sz w:val="21"/>
          <w:szCs w:val="21"/>
          <w:highlight w:val="none"/>
          <w:lang w:val="en-US" w:eastAsia="zh-CN"/>
        </w:rPr>
        <w:t>二</w:t>
      </w:r>
      <w:r>
        <w:rPr>
          <w:rFonts w:hint="eastAsia" w:asciiTheme="minorEastAsia" w:hAnsiTheme="minorEastAsia" w:eastAsiaTheme="minorEastAsia"/>
          <w:b/>
          <w:bCs/>
          <w:color w:val="auto"/>
          <w:sz w:val="21"/>
          <w:szCs w:val="21"/>
          <w:highlight w:val="none"/>
        </w:rPr>
        <w:t>）付款方式</w:t>
      </w:r>
    </w:p>
    <w:p w14:paraId="38CB648C">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1、项目竣工验收后10个工作日后支付合同金额的100%。</w:t>
      </w:r>
    </w:p>
    <w:p w14:paraId="29B35DED">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r>
        <w:rPr>
          <w:rFonts w:hint="eastAsia" w:asciiTheme="minorEastAsia" w:hAnsiTheme="minorEastAsia" w:eastAsiaTheme="minorEastAsia"/>
          <w:b/>
          <w:bCs w:val="0"/>
          <w:color w:val="auto"/>
          <w:sz w:val="21"/>
          <w:szCs w:val="21"/>
          <w:highlight w:val="none"/>
          <w:lang w:val="en-US" w:eastAsia="zh-CN"/>
        </w:rPr>
        <w:t>（三）验收要求</w:t>
      </w:r>
    </w:p>
    <w:p w14:paraId="1949C7D2">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default" w:asciiTheme="minorEastAsia" w:hAnsiTheme="minorEastAsia" w:eastAsiaTheme="minorEastAsia"/>
          <w:bCs/>
          <w:color w:val="auto"/>
          <w:sz w:val="21"/>
          <w:szCs w:val="21"/>
          <w:highlight w:val="none"/>
          <w:lang w:val="en-US" w:eastAsia="zh-CN"/>
        </w:rPr>
      </w:pPr>
      <w:r>
        <w:rPr>
          <w:rFonts w:hint="default" w:asciiTheme="minorEastAsia" w:hAnsiTheme="minorEastAsia" w:eastAsiaTheme="minorEastAsia"/>
          <w:bCs/>
          <w:color w:val="auto"/>
          <w:sz w:val="21"/>
          <w:szCs w:val="21"/>
          <w:highlight w:val="none"/>
          <w:lang w:val="en-US" w:eastAsia="zh-CN"/>
        </w:rPr>
        <w:t>1.若有国家标准按照国家标准验收，若无国家标准按行业标准及相关合同、附件进行验收。验收完毕由采购人及成交供应商在验收报告上签字。</w:t>
      </w:r>
    </w:p>
    <w:p w14:paraId="7B2DC9C0">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default" w:asciiTheme="minorEastAsia" w:hAnsiTheme="minorEastAsia" w:eastAsiaTheme="minorEastAsia"/>
          <w:bCs/>
          <w:color w:val="auto"/>
          <w:sz w:val="21"/>
          <w:szCs w:val="21"/>
          <w:highlight w:val="none"/>
          <w:lang w:val="en-US" w:eastAsia="zh-CN"/>
        </w:rPr>
      </w:pPr>
      <w:r>
        <w:rPr>
          <w:rFonts w:hint="default" w:asciiTheme="minorEastAsia" w:hAnsiTheme="minorEastAsia" w:eastAsiaTheme="minorEastAsia"/>
          <w:bCs/>
          <w:color w:val="auto"/>
          <w:sz w:val="21"/>
          <w:szCs w:val="21"/>
          <w:highlight w:val="none"/>
          <w:lang w:val="en-US" w:eastAsia="zh-CN"/>
        </w:rPr>
        <w:t>2.验收完毕后成交供应商应将设备的用户手册、保修手册、有关单证资料及配备件、随机工具等交付给采购人，使用操作及安全须知等重要资料应附有中文说明。</w:t>
      </w:r>
    </w:p>
    <w:p w14:paraId="5BD617C5">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p>
    <w:p w14:paraId="74C5A643">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p>
    <w:p w14:paraId="20BDF677">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p>
    <w:p w14:paraId="3243E0EA">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default" w:asciiTheme="minorEastAsia" w:hAnsiTheme="minorEastAsia" w:eastAsiaTheme="minorEastAsia"/>
          <w:b/>
          <w:bCs w:val="0"/>
          <w:color w:val="auto"/>
          <w:sz w:val="21"/>
          <w:szCs w:val="21"/>
          <w:highlight w:val="none"/>
          <w:lang w:val="en-US" w:eastAsia="zh-CN"/>
        </w:rPr>
      </w:pPr>
      <w:r>
        <w:rPr>
          <w:rFonts w:hint="eastAsia" w:asciiTheme="minorEastAsia" w:hAnsiTheme="minorEastAsia" w:eastAsiaTheme="minorEastAsia"/>
          <w:b/>
          <w:bCs w:val="0"/>
          <w:color w:val="auto"/>
          <w:sz w:val="21"/>
          <w:szCs w:val="21"/>
          <w:highlight w:val="none"/>
          <w:lang w:val="en-US" w:eastAsia="zh-CN"/>
        </w:rPr>
        <w:t>四、其他商务要求</w:t>
      </w:r>
    </w:p>
    <w:p w14:paraId="084A6C30">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r>
        <w:rPr>
          <w:rFonts w:hint="eastAsia" w:asciiTheme="minorEastAsia" w:hAnsiTheme="minorEastAsia" w:eastAsiaTheme="minorEastAsia"/>
          <w:b/>
          <w:bCs w:val="0"/>
          <w:color w:val="auto"/>
          <w:sz w:val="21"/>
          <w:szCs w:val="21"/>
          <w:highlight w:val="none"/>
          <w:lang w:val="en-US" w:eastAsia="zh-CN"/>
        </w:rPr>
        <w:t>（一）产品质量</w:t>
      </w:r>
    </w:p>
    <w:p w14:paraId="45DBF2D5">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1.质量标准：</w:t>
      </w:r>
    </w:p>
    <w:p w14:paraId="6C82D4C3">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 xml:space="preserve">（1）符合国家、行业等有关标准，符合磋商文件、投标文件及设备生产厂家公开的宣传资料和生产厂商官方网站宣传内容的标准要求。 </w:t>
      </w:r>
    </w:p>
    <w:p w14:paraId="38250FB5">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（2）供应商应保证提供的产品是全新未使用过的原厂合格正品（包括零部件），表面无划损、无任何缺陷隐患，在中国境内合法销售的产品。</w:t>
      </w:r>
    </w:p>
    <w:p w14:paraId="2B09499D">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 xml:space="preserve">2.单证齐全：应有产品合格证、使用说明、保修证明、发票和其他应具有的单证。货物为原厂商未启封全新包装，序列号、包装箱号与出厂批号一致，并可追索查阅。若成交供应商所提供的产品是进口产品，则须提供合法的原产地证明、进口报关单证、完税凭证、商检检验证明等资料核查。 </w:t>
      </w:r>
    </w:p>
    <w:p w14:paraId="1A17FFAF">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3.包装：产品包装应有良好的防湿、防锈、防潮、防雨、防腐及防碰撞的措施。凡由于包装不良造成的损失和由此产生的费用均由成交供应商承担。</w:t>
      </w:r>
    </w:p>
    <w:p w14:paraId="61D85BBF">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r>
        <w:rPr>
          <w:rFonts w:hint="eastAsia" w:asciiTheme="minorEastAsia" w:hAnsiTheme="minorEastAsia" w:eastAsiaTheme="minorEastAsia"/>
          <w:b/>
          <w:bCs w:val="0"/>
          <w:color w:val="auto"/>
          <w:sz w:val="21"/>
          <w:szCs w:val="21"/>
          <w:highlight w:val="none"/>
          <w:lang w:val="en-US" w:eastAsia="zh-CN"/>
        </w:rPr>
        <w:t>（二）安装与调试</w:t>
      </w:r>
    </w:p>
    <w:p w14:paraId="363EDDDA">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成交供应商进行安装、调试时须对安装场地内的其它设备、设施有良好的保护措施。如在安装、调试过程中，由于成交供应商造成的其他设备、设施的损坏，一切费用由成交供应商承担。</w:t>
      </w:r>
    </w:p>
    <w:p w14:paraId="2CE895A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460" w:firstLineChars="218"/>
        <w:jc w:val="both"/>
        <w:textAlignment w:val="auto"/>
        <w:rPr>
          <w:rFonts w:hint="eastAsia" w:asciiTheme="minorEastAsia" w:hAnsiTheme="minorEastAsia" w:eastAsiaTheme="minorEastAsia"/>
          <w:b/>
          <w:bCs w:val="0"/>
          <w:color w:val="auto"/>
          <w:sz w:val="21"/>
          <w:szCs w:val="21"/>
          <w:highlight w:val="none"/>
          <w:lang w:val="en-US" w:eastAsia="zh-CN"/>
        </w:rPr>
      </w:pPr>
      <w:r>
        <w:rPr>
          <w:rFonts w:hint="eastAsia" w:asciiTheme="minorEastAsia" w:hAnsiTheme="minorEastAsia" w:eastAsiaTheme="minorEastAsia"/>
          <w:b/>
          <w:bCs w:val="0"/>
          <w:color w:val="auto"/>
          <w:sz w:val="21"/>
          <w:szCs w:val="21"/>
          <w:highlight w:val="none"/>
          <w:lang w:val="en-US" w:eastAsia="zh-CN"/>
        </w:rPr>
        <w:t>质保期与售后服务</w:t>
      </w:r>
    </w:p>
    <w:p w14:paraId="65D509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1.产品质保期自验收合格之日起至少 1 年（保修期内硬软件包换，免费保修，人为因素引起故障除外）；质保期内，如设备或零部件因质量原因出现故障而造成短期停用时，则质保期和免费维修期相应顺延。质保期满后，如采购人需成交供应商继续进行维护，由双方自行拟定协议。</w:t>
      </w:r>
    </w:p>
    <w:p w14:paraId="1CCE5F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2.售后服务要求（需提供7×24小时维修服务响应热线）</w:t>
      </w:r>
    </w:p>
    <w:p w14:paraId="46B95B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 xml:space="preserve">（1）成交供应商维修设备时所更换的备件应是原设备生产厂家认证合格的全新零配件，必须满足设备运行要求，并且不会因为更换备件给设备带来危害，备件的供应须100%保障。  </w:t>
      </w:r>
    </w:p>
    <w:p w14:paraId="1C336C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（2）成交供应商维修人员上门对设备进行检测、维护或维修时，非人为因素情况下，免收服务费、人工费、维修费、检测费和交通费等一切在质保期内产生的相关费用。</w:t>
      </w:r>
    </w:p>
    <w:p w14:paraId="359221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（3）维修时间安排：采购人报修后，成交供应商2小时内响应，4小时内到达现场，48小时内处理完毕，若在48小时内仍未能有效解决，成交供应商须免费提供同档次的设备予采购人临时使用。</w:t>
      </w:r>
    </w:p>
    <w:p w14:paraId="42F668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lang w:val="en-US" w:eastAsia="zh-CN"/>
        </w:rPr>
        <w:t xml:space="preserve">（4）技术人员培训：成交供应商须保证相关操作人员完全熟悉操作设备的全部功能，如有设备升级更新，成交供应商需及时提供更新操作指导。 </w:t>
      </w:r>
    </w:p>
    <w:p w14:paraId="2BB58513">
      <w:pPr>
        <w:numPr>
          <w:ilvl w:val="0"/>
          <w:numId w:val="0"/>
        </w:numPr>
        <w:kinsoku/>
        <w:wordWrap/>
        <w:overflowPunct/>
        <w:topLinePunct w:val="0"/>
        <w:autoSpaceDE/>
        <w:autoSpaceDN/>
        <w:bidi w:val="0"/>
        <w:adjustRightInd/>
        <w:spacing w:line="360" w:lineRule="auto"/>
        <w:rPr>
          <w:rFonts w:hint="default" w:asciiTheme="minorEastAsia" w:hAnsiTheme="minorEastAsia" w:eastAsiaTheme="minorEastAsia"/>
          <w:bCs/>
          <w:color w:val="auto"/>
          <w:sz w:val="21"/>
          <w:szCs w:val="21"/>
          <w:lang w:val="en-US" w:eastAsia="zh-CN"/>
        </w:rPr>
      </w:pPr>
    </w:p>
    <w:p w14:paraId="2C9DB76D">
      <w:pPr>
        <w:pStyle w:val="12"/>
        <w:numPr>
          <w:ilvl w:val="0"/>
          <w:numId w:val="0"/>
        </w:numPr>
        <w:kinsoku/>
        <w:wordWrap/>
        <w:overflowPunct/>
        <w:topLinePunct w:val="0"/>
        <w:autoSpaceDE/>
        <w:autoSpaceDN/>
        <w:bidi w:val="0"/>
        <w:adjustRightInd/>
        <w:spacing w:line="360" w:lineRule="auto"/>
        <w:jc w:val="center"/>
        <w:rPr>
          <w:rFonts w:hint="default" w:asciiTheme="minorEastAsia" w:hAnsiTheme="minorEastAsia" w:eastAsiaTheme="minorEastAsia"/>
          <w:bCs/>
          <w:color w:val="auto"/>
          <w:sz w:val="21"/>
          <w:szCs w:val="21"/>
          <w:lang w:val="en-US" w:eastAsia="zh-CN"/>
        </w:rPr>
      </w:pPr>
      <w:r>
        <w:rPr>
          <w:rFonts w:hint="eastAsia" w:asciiTheme="minorEastAsia" w:hAnsiTheme="minorEastAsia" w:eastAsiaTheme="minorEastAsia"/>
          <w:color w:val="auto"/>
          <w:lang w:val="en-US" w:eastAsia="zh-CN"/>
        </w:rPr>
        <w:t>第二章  技术参数要求</w:t>
      </w:r>
    </w:p>
    <w:p w14:paraId="389A32F7">
      <w:pPr>
        <w:kinsoku/>
        <w:wordWrap/>
        <w:overflowPunct/>
        <w:topLinePunct w:val="0"/>
        <w:autoSpaceDE/>
        <w:autoSpaceDN/>
        <w:bidi w:val="0"/>
        <w:adjustRightInd/>
        <w:spacing w:line="360" w:lineRule="auto"/>
        <w:ind w:firstLine="460" w:firstLineChars="218"/>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lang w:val="en-US" w:eastAsia="zh-CN"/>
        </w:rPr>
        <w:t>一</w:t>
      </w:r>
      <w:r>
        <w:rPr>
          <w:rFonts w:hint="eastAsia" w:asciiTheme="minorEastAsia" w:hAnsiTheme="minorEastAsia" w:eastAsiaTheme="minorEastAsia"/>
          <w:b/>
          <w:bCs/>
          <w:color w:val="auto"/>
          <w:sz w:val="21"/>
          <w:szCs w:val="21"/>
        </w:rPr>
        <w:t>、 技术标准总体要求（包括但不限于）：</w:t>
      </w:r>
    </w:p>
    <w:p w14:paraId="0C718064">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1、中华人民共和国医药行业标准：</w:t>
      </w:r>
    </w:p>
    <w:p w14:paraId="2D02BC73">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1.1 《医用中心供氧系统通用技术条件》                     YY/T0187-1994</w:t>
      </w:r>
    </w:p>
    <w:p w14:paraId="442A6249">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1.2 《医用中心吸引系统通用技术条件》                     YY/T0186-1994</w:t>
      </w:r>
    </w:p>
    <w:p w14:paraId="7AC9617D">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2、中华人民共和国国家标准：</w:t>
      </w:r>
    </w:p>
    <w:p w14:paraId="509186A4">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2.1 《医用气体工程技术规范》                             GB 50751-2012  </w:t>
      </w:r>
    </w:p>
    <w:p w14:paraId="5CBFDE40">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2.2 《工业金属管道设计规范》                        GB50316-2000（2008版）</w:t>
      </w:r>
    </w:p>
    <w:p w14:paraId="64C18E4D">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2.3 《工业金属管道工程施工规范》                         GB 50235-2010</w:t>
      </w:r>
    </w:p>
    <w:p w14:paraId="64FD0133">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2.4 《工业金属管道工程施工质量验收规范》                 GB 50184-2011</w:t>
      </w:r>
    </w:p>
    <w:p w14:paraId="77F2AEC6">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2.5 《工业金属管道工程施工质量验收规范》                 GB50184-2011</w:t>
      </w:r>
    </w:p>
    <w:p w14:paraId="5B3897ED">
      <w:pPr>
        <w:kinsoku/>
        <w:wordWrap/>
        <w:overflowPunct/>
        <w:topLinePunct w:val="0"/>
        <w:autoSpaceDE/>
        <w:autoSpaceDN/>
        <w:bidi w:val="0"/>
        <w:adjustRightInd/>
        <w:spacing w:line="360" w:lineRule="auto"/>
        <w:ind w:firstLine="6652" w:firstLineChars="316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150.4-2011</w:t>
      </w:r>
    </w:p>
    <w:p w14:paraId="130631E8">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2.6 《现场设备、工业管道焊接工程施工规范》               GB50236-2011</w:t>
      </w:r>
    </w:p>
    <w:p w14:paraId="4BF94A31">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2.7 《现场设备、工业管道焊接工程施工质量验收规范》       GB50683-2011</w:t>
      </w:r>
    </w:p>
    <w:p w14:paraId="1B2BCD84">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2.8 《食品安全国家标准 食品接触用金属材料及制品》        GB 4806.9-2016</w:t>
      </w:r>
    </w:p>
    <w:p w14:paraId="33335657">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3、其他标准：</w:t>
      </w:r>
    </w:p>
    <w:p w14:paraId="3FABF7AD">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3.1 《医用气体和真空用无缝铜管》                          YS/T 650-2007</w:t>
      </w:r>
    </w:p>
    <w:p w14:paraId="49492692">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3.2 《医用气体和真空用不锈钢焊接钢管》                    YB/T 4513-2017</w:t>
      </w:r>
    </w:p>
    <w:p w14:paraId="54B0075C">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3.3 《医用电气设备》第一部分，安全通用要求                GB9706.1</w:t>
      </w:r>
    </w:p>
    <w:p w14:paraId="3709FDF3">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3.4 《医用电气设备环境要求及试验方法》                   GB14710</w:t>
      </w:r>
    </w:p>
    <w:p w14:paraId="2EADAE5D">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3.5 建设单位提供的设计要求和意见</w:t>
      </w:r>
    </w:p>
    <w:p w14:paraId="07CB009E">
      <w:pPr>
        <w:kinsoku/>
        <w:wordWrap/>
        <w:overflowPunct/>
        <w:topLinePunct w:val="0"/>
        <w:autoSpaceDE/>
        <w:autoSpaceDN/>
        <w:bidi w:val="0"/>
        <w:adjustRightInd/>
        <w:spacing w:line="360" w:lineRule="auto"/>
        <w:ind w:firstLine="457" w:firstLineChars="218"/>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  3.6 国家以及地方颁发的其它相关标准、规范和规程</w:t>
      </w:r>
    </w:p>
    <w:p w14:paraId="013CE0F2">
      <w:pPr>
        <w:kinsoku/>
        <w:wordWrap/>
        <w:overflowPunct/>
        <w:topLinePunct w:val="0"/>
        <w:autoSpaceDE/>
        <w:autoSpaceDN/>
        <w:bidi w:val="0"/>
        <w:adjustRightInd/>
        <w:spacing w:line="360" w:lineRule="auto"/>
        <w:rPr>
          <w:rFonts w:hint="eastAsia"/>
          <w:color w:val="auto"/>
          <w:sz w:val="21"/>
          <w:szCs w:val="21"/>
          <w:lang w:eastAsia="zh-CN"/>
        </w:rPr>
      </w:pPr>
    </w:p>
    <w:p w14:paraId="4717B415">
      <w:pPr>
        <w:kinsoku/>
        <w:wordWrap/>
        <w:overflowPunct/>
        <w:topLinePunct w:val="0"/>
        <w:autoSpaceDE/>
        <w:autoSpaceDN/>
        <w:bidi w:val="0"/>
        <w:adjustRightInd/>
        <w:spacing w:line="360" w:lineRule="auto"/>
        <w:rPr>
          <w:rFonts w:hint="eastAsia"/>
          <w:color w:val="auto"/>
          <w:sz w:val="21"/>
          <w:szCs w:val="21"/>
          <w:lang w:eastAsia="zh-CN"/>
        </w:rPr>
      </w:pPr>
    </w:p>
    <w:p w14:paraId="69E51E59">
      <w:pPr>
        <w:kinsoku/>
        <w:wordWrap/>
        <w:overflowPunct/>
        <w:topLinePunct w:val="0"/>
        <w:autoSpaceDE/>
        <w:autoSpaceDN/>
        <w:bidi w:val="0"/>
        <w:adjustRightInd/>
        <w:spacing w:line="360" w:lineRule="auto"/>
        <w:rPr>
          <w:rFonts w:hint="eastAsia"/>
          <w:color w:val="auto"/>
          <w:sz w:val="21"/>
          <w:szCs w:val="21"/>
          <w:lang w:eastAsia="zh-CN"/>
        </w:rPr>
      </w:pPr>
    </w:p>
    <w:p w14:paraId="61B7053E">
      <w:pPr>
        <w:kinsoku/>
        <w:wordWrap/>
        <w:overflowPunct/>
        <w:topLinePunct w:val="0"/>
        <w:autoSpaceDE/>
        <w:autoSpaceDN/>
        <w:bidi w:val="0"/>
        <w:adjustRightInd/>
        <w:spacing w:line="360" w:lineRule="auto"/>
        <w:rPr>
          <w:rFonts w:hint="eastAsia"/>
          <w:color w:val="auto"/>
          <w:sz w:val="21"/>
          <w:szCs w:val="21"/>
          <w:lang w:eastAsia="zh-CN"/>
        </w:rPr>
      </w:pPr>
    </w:p>
    <w:p w14:paraId="3EC078F0">
      <w:pPr>
        <w:kinsoku/>
        <w:wordWrap/>
        <w:overflowPunct/>
        <w:topLinePunct w:val="0"/>
        <w:autoSpaceDE/>
        <w:autoSpaceDN/>
        <w:bidi w:val="0"/>
        <w:adjustRightInd/>
        <w:spacing w:line="360" w:lineRule="auto"/>
        <w:rPr>
          <w:rFonts w:hint="eastAsia"/>
          <w:color w:val="auto"/>
          <w:sz w:val="21"/>
          <w:szCs w:val="21"/>
          <w:lang w:eastAsia="zh-CN"/>
        </w:rPr>
      </w:pPr>
    </w:p>
    <w:p w14:paraId="45F49D71">
      <w:pPr>
        <w:kinsoku/>
        <w:wordWrap/>
        <w:overflowPunct/>
        <w:topLinePunct w:val="0"/>
        <w:autoSpaceDE/>
        <w:autoSpaceDN/>
        <w:bidi w:val="0"/>
        <w:adjustRightInd/>
        <w:spacing w:line="360" w:lineRule="auto"/>
        <w:rPr>
          <w:rFonts w:hint="eastAsia"/>
          <w:color w:val="auto"/>
          <w:sz w:val="21"/>
          <w:szCs w:val="21"/>
          <w:lang w:eastAsia="zh-CN"/>
        </w:rPr>
      </w:pPr>
    </w:p>
    <w:p w14:paraId="0AD30EC6">
      <w:pPr>
        <w:numPr>
          <w:ilvl w:val="0"/>
          <w:numId w:val="0"/>
        </w:numPr>
        <w:kinsoku/>
        <w:wordWrap/>
        <w:overflowPunct/>
        <w:topLinePunct w:val="0"/>
        <w:autoSpaceDE/>
        <w:autoSpaceDN/>
        <w:bidi w:val="0"/>
        <w:adjustRightInd/>
        <w:spacing w:line="360" w:lineRule="auto"/>
        <w:rPr>
          <w:rFonts w:hint="eastAsia"/>
          <w:b/>
          <w:bCs/>
          <w:color w:val="auto"/>
          <w:sz w:val="21"/>
          <w:szCs w:val="21"/>
          <w:lang w:eastAsia="zh-CN"/>
        </w:rPr>
      </w:pPr>
      <w:r>
        <w:rPr>
          <w:rFonts w:hint="eastAsia"/>
          <w:b/>
          <w:bCs/>
          <w:color w:val="auto"/>
          <w:sz w:val="21"/>
          <w:szCs w:val="21"/>
          <w:lang w:val="en-US" w:eastAsia="zh-CN"/>
        </w:rPr>
        <w:t>二、</w:t>
      </w:r>
      <w:r>
        <w:rPr>
          <w:rFonts w:hint="eastAsia"/>
          <w:b/>
          <w:bCs/>
          <w:color w:val="auto"/>
          <w:sz w:val="21"/>
          <w:szCs w:val="21"/>
          <w:lang w:eastAsia="zh-CN"/>
        </w:rPr>
        <w:t>技术参数</w:t>
      </w:r>
    </w:p>
    <w:p w14:paraId="3696AD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color w:val="auto"/>
          <w:sz w:val="21"/>
          <w:szCs w:val="21"/>
          <w:lang w:val="en-US" w:eastAsia="zh-CN"/>
        </w:rPr>
      </w:pPr>
      <w:r>
        <w:rPr>
          <w:rFonts w:hint="eastAsia" w:ascii="宋体" w:hAnsi="宋体"/>
          <w:color w:val="auto"/>
          <w:sz w:val="21"/>
          <w:szCs w:val="21"/>
          <w:lang w:val="en-US" w:eastAsia="zh-CN"/>
        </w:rPr>
        <w:t>1</w:t>
      </w:r>
      <w:r>
        <w:rPr>
          <w:rFonts w:hint="eastAsia" w:ascii="宋体" w:hAnsi="宋体" w:eastAsia="宋体"/>
          <w:color w:val="auto"/>
          <w:sz w:val="21"/>
          <w:szCs w:val="21"/>
          <w:lang w:val="en-US" w:eastAsia="zh-CN"/>
        </w:rPr>
        <w:t>.医用气体管道系统</w:t>
      </w:r>
    </w:p>
    <w:p w14:paraId="50A422DB">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（1）本工程医有气体管道系统包括：中心供氧、负压吸引管路设计使用寿命超过20年。</w:t>
      </w:r>
    </w:p>
    <w:p w14:paraId="2255387F">
      <w:pPr>
        <w:pStyle w:val="6"/>
        <w:kinsoku/>
        <w:wordWrap/>
        <w:overflowPunct/>
        <w:topLinePunct w:val="0"/>
        <w:autoSpaceDE/>
        <w:autoSpaceDN/>
        <w:bidi w:val="0"/>
        <w:adjustRightInd/>
        <w:spacing w:line="360" w:lineRule="auto"/>
        <w:ind w:left="211" w:hanging="210" w:hangingChars="100"/>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（2）</w:t>
      </w:r>
      <w:r>
        <w:rPr>
          <w:rFonts w:hint="eastAsia" w:hAnsi="宋体"/>
          <w:color w:val="auto"/>
          <w:sz w:val="21"/>
          <w:szCs w:val="21"/>
        </w:rPr>
        <w:t>▲</w:t>
      </w:r>
      <w:r>
        <w:rPr>
          <w:rFonts w:hint="eastAsia" w:ascii="宋体" w:hAnsi="宋体" w:eastAsia="宋体" w:cs="宋体"/>
          <w:b w:val="0"/>
          <w:bCs/>
          <w:color w:val="auto"/>
          <w:sz w:val="21"/>
          <w:szCs w:val="21"/>
          <w:lang w:val="en-US" w:eastAsia="zh-CN"/>
        </w:rPr>
        <w:t>医用气体管道均采用医用脱脂紫铜管。铜管需符合YS／T 650医用气体和真空用无缝铜管,提供铜管检测报告</w:t>
      </w:r>
    </w:p>
    <w:p w14:paraId="54E5D225">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（3）系统管道部分的连接均采用焊接，其中焊缝形式采用：铜与铜之间采用硬钎焊，钢与钢之间均用氩弧焊，焊缝应可靠、美观，焊缝质量等级为Ⅲ级;焊工焊接之后需作相应的记录填写《焊接规范记录表》。</w:t>
      </w:r>
    </w:p>
    <w:p w14:paraId="1E5631A6">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4）医用气体管道穿墙、楼板以及建筑物基础时应设套管，穿楼板的套管应高出地板面至少50mm。且套管内医用气体管道不得有焊缝，套管与医用气体管道之间应采用不燃材料填实。不锈钢管安装时，不得使用铁制工具敲击，可采用木榔头或橡皮榔头，系统管道在拼接和直管弯管过程中，不能出现明显压扁，管道横截面积不得有明显增减。</w:t>
      </w:r>
    </w:p>
    <w:p w14:paraId="5174A1C7">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（5）所有压缩医用气体管材及附件均应严格进行脱脂,未安装完的管道应保护好两端的橡胶帽，防止杂物进入管内。</w:t>
      </w:r>
    </w:p>
    <w:p w14:paraId="0C6ED404">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6）医用气体管道标识长度不应小于40mm,标识的设置应符合下列规定：标识应沿管道的纵向轴以间距不超过10m的间距连续设置；任一房间内的管道应至少设置一个标识，管道穿越的隔墙或隔断的两侧均应有标识，立管穿越的每一层应至少设置一个标识。医用气体管道及附件的颜色为：医用氧气应涂白色标志圈，并用文字和箭头标识；医用真空管道用黄色标志圈，均用文字和箭头标识；医用空气管道用黑白色标志圈，均用文字和箭头标识；医用氮气管道用黑色标志圈，均用文字和箭头标识；医用笑气管道用蓝色标志圈，均用文字和箭头标识；医用二氧化碳管道用灰色标志圈，均用文字和箭头标识；医用麻醉废气管道用朱紫色标志圈，均用文字和箭头标识。</w:t>
      </w:r>
    </w:p>
    <w:p w14:paraId="19921E43">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7）管道吹除：管道安装完毕后应分段进行吹扫，吹扫的顺序应按主管道、副管道、支管道进行；主管道吹扫时应将副管道阀门接头分开，以防止杂物吹入副管道；副管道吹扫应在支管道未接通时进行；支管道吹扫应在系统管道安装完毕后进行；吹扫时应有足够的流量，吹扫压力不得超过设计压力，应从距离区域阀门最近的终端插座开始直至该区域内最远的终端；吹扫效效果验证或颗粒物检测时应在150L/min流量下至少进行15s，使用含50μm孔径虑布、直径50mm的开口容器进行检查，不应有残余物，吸引管道采用0.2MPa进行吹扫，医用气体管道在安装终端组件之前应使用干燥、无油空气或氮气；吹扫完毕后进行检验，并作好记录。</w:t>
      </w:r>
    </w:p>
    <w:p w14:paraId="6EE4C8D6">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8）试压：医用气体管道应分段、分区及全系统做压力试验及泄漏性试验，当进行管道压力试验时，应划定禁区，无关人员不得进入；管道试压必须由专门的操作人员进行；管道试压介质为干燥无油空气或氮气；氧气管道压力试验的试验压力为1.15倍的管道系统设计压力，试验时间为10min，要求接头、焊缝、管道无渗漏，外观无变形；压力试验时，应逐步缓慢增加压力，当压力升至试验压力的50％时，对所试压管道进行初步检查，如未发现异状或泄漏，继续按试验压力的10％逐级升压，每级稳性试验试验压力为-0.07MPa，试验时间为24小时，要求管道的增压率每小时不得超过1.2％。管道气密性试验时应注意现场环境温度的变化，并用温度计准确测量试验期间的温度变化，并作好记录。</w:t>
      </w:r>
    </w:p>
    <w:p w14:paraId="47008351">
      <w:pPr>
        <w:pStyle w:val="6"/>
        <w:kinsoku/>
        <w:wordWrap/>
        <w:overflowPunct/>
        <w:topLinePunct w:val="0"/>
        <w:autoSpaceDE/>
        <w:autoSpaceDN/>
        <w:bidi w:val="0"/>
        <w:adjustRightInd/>
        <w:spacing w:line="360" w:lineRule="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9）气密性：医用气体管道应进行24h泄漏性试验，压缩医用气体管道的试验压力应为管道设计压力，真空管道试验压力应为真空压力70kPa；医用气体管道在未接入终端组件时的泄露性试验，小时泄露性不应超过0.05％；</w:t>
      </w:r>
    </w:p>
    <w:p w14:paraId="14F9AB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asciiTheme="minorEastAsia" w:hAnsiTheme="minorEastAsia" w:eastAsiaTheme="minorEastAsia"/>
          <w:bCs/>
          <w:color w:val="auto"/>
          <w:sz w:val="21"/>
          <w:szCs w:val="21"/>
        </w:rPr>
      </w:pPr>
      <w:r>
        <w:rPr>
          <w:rFonts w:hint="eastAsia" w:ascii="宋体" w:hAnsi="宋体"/>
          <w:color w:val="auto"/>
          <w:sz w:val="21"/>
          <w:szCs w:val="21"/>
          <w:lang w:val="en-US" w:eastAsia="zh-CN"/>
        </w:rPr>
        <w:t>2、</w:t>
      </w:r>
      <w:r>
        <w:rPr>
          <w:rFonts w:hint="eastAsia" w:ascii="宋体" w:hAnsi="宋体" w:eastAsia="宋体"/>
          <w:color w:val="auto"/>
          <w:sz w:val="21"/>
          <w:szCs w:val="21"/>
          <w:lang w:val="en-US" w:eastAsia="zh-CN"/>
        </w:rPr>
        <w:t>设备带电器终端系统</w:t>
      </w:r>
    </w:p>
    <w:p w14:paraId="18CA68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outlineLvl w:val="9"/>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lang w:val="en-US" w:eastAsia="zh-CN"/>
        </w:rPr>
        <w:t>2</w:t>
      </w:r>
      <w:r>
        <w:rPr>
          <w:rFonts w:hint="eastAsia" w:asciiTheme="minorEastAsia" w:hAnsiTheme="minorEastAsia" w:eastAsiaTheme="minorEastAsia"/>
          <w:bCs/>
          <w:color w:val="auto"/>
          <w:sz w:val="21"/>
          <w:szCs w:val="21"/>
        </w:rPr>
        <w:t>.1病房设备带要求</w:t>
      </w:r>
    </w:p>
    <w:p w14:paraId="7F1CA453">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1）材质为优质铝合金，表面（侧边和面板）均采用电泳喷塑处理（颜色由采购人选定）。内部分强电、弱电、气体通道，设备带在病房墙体上通长布置，气体阀门、气体终端均安装在设备带上。病房内设备带安装高度为底边距地1</w:t>
      </w:r>
      <w:r>
        <w:rPr>
          <w:rFonts w:hint="eastAsia" w:asciiTheme="minorEastAsia" w:hAnsiTheme="minorEastAsia" w:eastAsiaTheme="minorEastAsia"/>
          <w:bCs/>
          <w:color w:val="auto"/>
          <w:sz w:val="21"/>
          <w:szCs w:val="21"/>
          <w:lang w:val="en-US" w:eastAsia="zh-CN"/>
        </w:rPr>
        <w:t>3</w:t>
      </w:r>
      <w:r>
        <w:rPr>
          <w:rFonts w:hint="eastAsia" w:asciiTheme="minorEastAsia" w:hAnsiTheme="minorEastAsia" w:eastAsiaTheme="minorEastAsia"/>
          <w:bCs/>
          <w:color w:val="auto"/>
          <w:sz w:val="21"/>
          <w:szCs w:val="21"/>
        </w:rPr>
        <w:t>00mm。</w:t>
      </w:r>
    </w:p>
    <w:p w14:paraId="47830923">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（2）设备带材质选用优质铝合金，表面静电喷塑，设备带支架厚应不小于1.5mm，前盖板壁厚不小于1.5mm，侧盖板壁厚不小于1.2mm。</w:t>
      </w:r>
      <w:r>
        <w:rPr>
          <w:rFonts w:hint="eastAsia" w:asciiTheme="minorEastAsia" w:hAnsiTheme="minorEastAsia" w:eastAsiaTheme="minorEastAsia"/>
          <w:bCs/>
          <w:color w:val="auto"/>
          <w:sz w:val="21"/>
          <w:szCs w:val="21"/>
          <w:lang w:val="en-US" w:eastAsia="zh-CN"/>
        </w:rPr>
        <w:t>宽度和厚度分别为：200±5mm 和 55±5mm</w:t>
      </w:r>
    </w:p>
    <w:p w14:paraId="22EF6A84">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（3）</w:t>
      </w:r>
      <w:r>
        <w:rPr>
          <w:rFonts w:hint="eastAsia" w:asciiTheme="minorEastAsia" w:hAnsiTheme="minorEastAsia" w:eastAsiaTheme="minorEastAsia"/>
          <w:bCs/>
          <w:color w:val="auto"/>
          <w:sz w:val="21"/>
          <w:szCs w:val="21"/>
          <w:lang w:val="en-US" w:eastAsia="zh-CN"/>
        </w:rPr>
        <w:t>▲设备带原材料符合GB/T 6892-2015 《一般工业用铝及铝合金挤压型材》标准的要求。</w:t>
      </w:r>
      <w:r>
        <w:rPr>
          <w:rFonts w:hint="eastAsia" w:asciiTheme="minorEastAsia" w:hAnsiTheme="minorEastAsia" w:eastAsiaTheme="minorEastAsia"/>
          <w:bCs/>
          <w:color w:val="auto"/>
          <w:sz w:val="21"/>
          <w:szCs w:val="21"/>
          <w:lang w:val="en-US" w:eastAsia="en-US"/>
        </w:rPr>
        <w:t>提供</w:t>
      </w:r>
      <w:r>
        <w:rPr>
          <w:rFonts w:hint="eastAsia" w:asciiTheme="minorEastAsia" w:hAnsiTheme="minorEastAsia" w:eastAsiaTheme="minorEastAsia"/>
          <w:bCs/>
          <w:color w:val="auto"/>
          <w:sz w:val="21"/>
          <w:szCs w:val="21"/>
          <w:lang w:val="en-US" w:eastAsia="zh-CN"/>
        </w:rPr>
        <w:t>第三方</w:t>
      </w:r>
      <w:r>
        <w:rPr>
          <w:rFonts w:hint="eastAsia" w:asciiTheme="minorEastAsia" w:hAnsiTheme="minorEastAsia" w:eastAsiaTheme="minorEastAsia"/>
          <w:bCs/>
          <w:color w:val="auto"/>
          <w:sz w:val="21"/>
          <w:szCs w:val="21"/>
          <w:lang w:val="en-US" w:eastAsia="en-US"/>
        </w:rPr>
        <w:t>检测报告</w:t>
      </w:r>
    </w:p>
    <w:p w14:paraId="754355E0">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（4）</w:t>
      </w:r>
      <w:r>
        <w:rPr>
          <w:rFonts w:hint="eastAsia" w:asciiTheme="minorEastAsia" w:hAnsiTheme="minorEastAsia" w:eastAsiaTheme="minorEastAsia"/>
          <w:bCs/>
          <w:color w:val="auto"/>
          <w:sz w:val="21"/>
          <w:szCs w:val="21"/>
          <w:lang w:val="en-US" w:eastAsia="zh-CN"/>
        </w:rPr>
        <w:t>▲抗菌性能符合GB/T 31402-2015</w:t>
      </w:r>
      <w:r>
        <w:rPr>
          <w:rFonts w:hint="eastAsia" w:asciiTheme="minorEastAsia" w:hAnsiTheme="minorEastAsia" w:eastAsiaTheme="minorEastAsia"/>
          <w:bCs/>
          <w:color w:val="auto"/>
          <w:sz w:val="21"/>
          <w:szCs w:val="21"/>
          <w:lang w:val="en-US" w:eastAsia="en-US"/>
        </w:rPr>
        <w:t>提供</w:t>
      </w:r>
      <w:r>
        <w:rPr>
          <w:rFonts w:hint="eastAsia" w:asciiTheme="minorEastAsia" w:hAnsiTheme="minorEastAsia" w:eastAsiaTheme="minorEastAsia"/>
          <w:bCs/>
          <w:color w:val="auto"/>
          <w:sz w:val="21"/>
          <w:szCs w:val="21"/>
          <w:lang w:val="en-US" w:eastAsia="zh-CN"/>
        </w:rPr>
        <w:t>第三方</w:t>
      </w:r>
      <w:r>
        <w:rPr>
          <w:rFonts w:hint="eastAsia" w:asciiTheme="minorEastAsia" w:hAnsiTheme="minorEastAsia" w:eastAsiaTheme="minorEastAsia"/>
          <w:bCs/>
          <w:color w:val="auto"/>
          <w:sz w:val="21"/>
          <w:szCs w:val="21"/>
          <w:lang w:val="en-US" w:eastAsia="en-US"/>
        </w:rPr>
        <w:t>检测报告</w:t>
      </w:r>
      <w:r>
        <w:rPr>
          <w:rFonts w:hint="eastAsia" w:asciiTheme="minorEastAsia" w:hAnsiTheme="minorEastAsia" w:eastAsiaTheme="minorEastAsia"/>
          <w:bCs/>
          <w:color w:val="auto"/>
          <w:sz w:val="21"/>
          <w:szCs w:val="21"/>
          <w:lang w:val="en-US" w:eastAsia="zh-CN"/>
        </w:rPr>
        <w:t>；</w:t>
      </w:r>
    </w:p>
    <w:p w14:paraId="489D4583">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（5）</w:t>
      </w:r>
      <w:r>
        <w:rPr>
          <w:rFonts w:hint="eastAsia" w:asciiTheme="minorEastAsia" w:hAnsiTheme="minorEastAsia" w:eastAsiaTheme="minorEastAsia"/>
          <w:bCs/>
          <w:color w:val="auto"/>
          <w:sz w:val="21"/>
          <w:szCs w:val="21"/>
          <w:lang w:val="en-US" w:eastAsia="zh-CN"/>
        </w:rPr>
        <w:t>▲耐霉菌性能符合GB/T 1741-2020</w:t>
      </w:r>
      <w:r>
        <w:rPr>
          <w:rFonts w:hint="eastAsia" w:asciiTheme="minorEastAsia" w:hAnsiTheme="minorEastAsia" w:eastAsiaTheme="minorEastAsia"/>
          <w:bCs/>
          <w:color w:val="auto"/>
          <w:sz w:val="21"/>
          <w:szCs w:val="21"/>
          <w:lang w:val="en-US" w:eastAsia="en-US"/>
        </w:rPr>
        <w:t>提供</w:t>
      </w:r>
      <w:r>
        <w:rPr>
          <w:rFonts w:hint="eastAsia" w:asciiTheme="minorEastAsia" w:hAnsiTheme="minorEastAsia" w:eastAsiaTheme="minorEastAsia"/>
          <w:bCs/>
          <w:color w:val="auto"/>
          <w:sz w:val="21"/>
          <w:szCs w:val="21"/>
          <w:lang w:val="en-US" w:eastAsia="zh-CN"/>
        </w:rPr>
        <w:t>第三方</w:t>
      </w:r>
      <w:r>
        <w:rPr>
          <w:rFonts w:hint="eastAsia" w:asciiTheme="minorEastAsia" w:hAnsiTheme="minorEastAsia" w:eastAsiaTheme="minorEastAsia"/>
          <w:bCs/>
          <w:color w:val="auto"/>
          <w:sz w:val="21"/>
          <w:szCs w:val="21"/>
          <w:lang w:val="en-US" w:eastAsia="en-US"/>
        </w:rPr>
        <w:t>检测报告</w:t>
      </w:r>
      <w:r>
        <w:rPr>
          <w:rFonts w:hint="eastAsia" w:asciiTheme="minorEastAsia" w:hAnsiTheme="minorEastAsia" w:eastAsiaTheme="minorEastAsia"/>
          <w:bCs/>
          <w:color w:val="auto"/>
          <w:sz w:val="21"/>
          <w:szCs w:val="21"/>
          <w:lang w:val="en-US" w:eastAsia="zh-CN"/>
        </w:rPr>
        <w:t>；</w:t>
      </w:r>
    </w:p>
    <w:p w14:paraId="7797D40B">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（6）</w:t>
      </w:r>
      <w:r>
        <w:rPr>
          <w:rFonts w:hint="eastAsia" w:asciiTheme="minorEastAsia" w:hAnsiTheme="minorEastAsia" w:eastAsiaTheme="minorEastAsia"/>
          <w:bCs/>
          <w:color w:val="auto"/>
          <w:sz w:val="21"/>
          <w:szCs w:val="21"/>
          <w:lang w:val="en-US" w:eastAsia="zh-CN"/>
        </w:rPr>
        <w:t>▲锅、铅、汞、六价铬、多澳联苯(PBBs)、多浪二苯醚(PBDEs)的符合欧盟RoHS指令，</w:t>
      </w:r>
      <w:r>
        <w:rPr>
          <w:rFonts w:hint="eastAsia" w:asciiTheme="minorEastAsia" w:hAnsiTheme="minorEastAsia" w:eastAsiaTheme="minorEastAsia"/>
          <w:bCs/>
          <w:color w:val="auto"/>
          <w:sz w:val="21"/>
          <w:szCs w:val="21"/>
          <w:lang w:val="en-US" w:eastAsia="en-US"/>
        </w:rPr>
        <w:t>提供</w:t>
      </w:r>
      <w:r>
        <w:rPr>
          <w:rFonts w:hint="eastAsia" w:asciiTheme="minorEastAsia" w:hAnsiTheme="minorEastAsia" w:eastAsiaTheme="minorEastAsia"/>
          <w:bCs/>
          <w:color w:val="auto"/>
          <w:sz w:val="21"/>
          <w:szCs w:val="21"/>
          <w:lang w:val="en-US" w:eastAsia="zh-CN"/>
        </w:rPr>
        <w:t>第三方</w:t>
      </w:r>
      <w:r>
        <w:rPr>
          <w:rFonts w:hint="eastAsia" w:asciiTheme="minorEastAsia" w:hAnsiTheme="minorEastAsia" w:eastAsiaTheme="minorEastAsia"/>
          <w:bCs/>
          <w:color w:val="auto"/>
          <w:sz w:val="21"/>
          <w:szCs w:val="21"/>
          <w:lang w:val="en-US" w:eastAsia="en-US"/>
        </w:rPr>
        <w:t>检测报告</w:t>
      </w:r>
      <w:r>
        <w:rPr>
          <w:rFonts w:hint="eastAsia" w:asciiTheme="minorEastAsia" w:hAnsiTheme="minorEastAsia" w:eastAsiaTheme="minorEastAsia"/>
          <w:bCs/>
          <w:color w:val="auto"/>
          <w:sz w:val="21"/>
          <w:szCs w:val="21"/>
          <w:lang w:val="en-US" w:eastAsia="zh-CN"/>
        </w:rPr>
        <w:t>；</w:t>
      </w:r>
    </w:p>
    <w:p w14:paraId="365FEA8C">
      <w:pPr>
        <w:keepNext w:val="0"/>
        <w:keepLines w:val="0"/>
        <w:pageBreakBefore w:val="0"/>
        <w:widowControl w:val="0"/>
        <w:kinsoku/>
        <w:wordWrap/>
        <w:overflowPunct/>
        <w:topLinePunct w:val="0"/>
        <w:autoSpaceDE/>
        <w:autoSpaceDN/>
        <w:bidi w:val="0"/>
        <w:adjustRightInd/>
        <w:snapToGrid/>
        <w:spacing w:line="360" w:lineRule="auto"/>
        <w:ind w:right="0" w:rightChars="0" w:firstLine="457" w:firstLineChars="218"/>
        <w:jc w:val="both"/>
        <w:textAlignment w:val="auto"/>
        <w:rPr>
          <w:rFonts w:hint="eastAsia" w:asciiTheme="minorEastAsia" w:hAnsiTheme="minorEastAsia" w:eastAsiaTheme="minorEastAsia"/>
          <w:bCs/>
          <w:color w:val="auto"/>
          <w:sz w:val="21"/>
          <w:szCs w:val="21"/>
          <w:lang w:val="en-US" w:eastAsia="en-US"/>
        </w:rPr>
      </w:pPr>
      <w:r>
        <w:rPr>
          <w:rFonts w:hint="eastAsia" w:asciiTheme="minorEastAsia" w:hAnsiTheme="minorEastAsia" w:eastAsiaTheme="minorEastAsia"/>
          <w:bCs/>
          <w:color w:val="auto"/>
          <w:sz w:val="21"/>
          <w:szCs w:val="21"/>
        </w:rPr>
        <w:t>（7）</w:t>
      </w:r>
      <w:r>
        <w:rPr>
          <w:rFonts w:hint="eastAsia" w:asciiTheme="minorEastAsia" w:hAnsiTheme="minorEastAsia" w:eastAsiaTheme="minorEastAsia"/>
          <w:bCs/>
          <w:color w:val="auto"/>
          <w:sz w:val="21"/>
          <w:szCs w:val="21"/>
          <w:lang w:val="en-US" w:eastAsia="zh-CN"/>
        </w:rPr>
        <w:t>▲中性盐雾(NSS)符合要求，</w:t>
      </w:r>
      <w:r>
        <w:rPr>
          <w:rFonts w:hint="eastAsia" w:asciiTheme="minorEastAsia" w:hAnsiTheme="minorEastAsia" w:eastAsiaTheme="minorEastAsia"/>
          <w:bCs/>
          <w:color w:val="auto"/>
          <w:sz w:val="21"/>
          <w:szCs w:val="21"/>
          <w:lang w:val="en-US" w:eastAsia="en-US"/>
        </w:rPr>
        <w:t>提供</w:t>
      </w:r>
      <w:r>
        <w:rPr>
          <w:rFonts w:hint="eastAsia" w:asciiTheme="minorEastAsia" w:hAnsiTheme="minorEastAsia" w:eastAsiaTheme="minorEastAsia"/>
          <w:bCs/>
          <w:color w:val="auto"/>
          <w:sz w:val="21"/>
          <w:szCs w:val="21"/>
          <w:lang w:val="en-US" w:eastAsia="zh-CN"/>
        </w:rPr>
        <w:t>第三方</w:t>
      </w:r>
      <w:r>
        <w:rPr>
          <w:rFonts w:hint="eastAsia" w:asciiTheme="minorEastAsia" w:hAnsiTheme="minorEastAsia" w:eastAsiaTheme="minorEastAsia"/>
          <w:bCs/>
          <w:color w:val="auto"/>
          <w:sz w:val="21"/>
          <w:szCs w:val="21"/>
          <w:lang w:val="en-US" w:eastAsia="en-US"/>
        </w:rPr>
        <w:t>检测报告</w:t>
      </w:r>
    </w:p>
    <w:p w14:paraId="012E60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outlineLvl w:val="9"/>
        <w:rPr>
          <w:rFonts w:hint="eastAsia" w:ascii="宋体" w:hAnsi="宋体" w:eastAsia="宋体"/>
          <w:b w:val="0"/>
          <w:bCs w:val="0"/>
          <w:color w:val="auto"/>
          <w:sz w:val="21"/>
          <w:szCs w:val="21"/>
          <w:lang w:val="en-US" w:eastAsia="zh-CN"/>
        </w:rPr>
      </w:pPr>
      <w:r>
        <w:rPr>
          <w:rFonts w:hint="eastAsia" w:hAnsi="宋体"/>
          <w:b w:val="0"/>
          <w:bCs w:val="0"/>
          <w:color w:val="auto"/>
          <w:sz w:val="21"/>
          <w:szCs w:val="21"/>
          <w:lang w:eastAsia="zh-CN"/>
        </w:rPr>
        <w:t>（</w:t>
      </w:r>
      <w:r>
        <w:rPr>
          <w:rFonts w:hint="eastAsia" w:hAnsi="宋体"/>
          <w:b w:val="0"/>
          <w:bCs w:val="0"/>
          <w:color w:val="auto"/>
          <w:sz w:val="21"/>
          <w:szCs w:val="21"/>
          <w:lang w:val="en-US" w:eastAsia="zh-CN"/>
        </w:rPr>
        <w:t>8</w:t>
      </w:r>
      <w:r>
        <w:rPr>
          <w:rFonts w:hint="eastAsia" w:hAnsi="宋体"/>
          <w:b w:val="0"/>
          <w:bCs w:val="0"/>
          <w:color w:val="auto"/>
          <w:sz w:val="21"/>
          <w:szCs w:val="21"/>
        </w:rPr>
        <w:t>）▲设备带生产厂家具有职业健康、环境管理、质量管理体系认证证书，提供证书复印件。</w:t>
      </w:r>
    </w:p>
    <w:p w14:paraId="503CE81C">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lang w:val="en-US" w:eastAsia="zh-CN"/>
        </w:rPr>
        <w:t>2</w:t>
      </w:r>
      <w:r>
        <w:rPr>
          <w:rFonts w:hint="eastAsia" w:asciiTheme="minorEastAsia" w:hAnsiTheme="minorEastAsia" w:eastAsiaTheme="minorEastAsia"/>
          <w:color w:val="auto"/>
          <w:sz w:val="21"/>
          <w:szCs w:val="21"/>
        </w:rPr>
        <w:t>.2气体终端</w:t>
      </w:r>
    </w:p>
    <w:p w14:paraId="3BEDE8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（1）</w:t>
      </w:r>
      <w:r>
        <w:rPr>
          <w:rFonts w:hint="eastAsia" w:ascii="宋体" w:hAnsi="宋体" w:eastAsia="宋体" w:cs="宋体"/>
          <w:color w:val="auto"/>
          <w:sz w:val="21"/>
          <w:szCs w:val="21"/>
          <w:lang w:val="en-US" w:eastAsia="zh-CN"/>
        </w:rPr>
        <w:t>气体终端产品内部上下本体为全金属材质耐用结构，牢固可靠，经久耐用。</w:t>
      </w:r>
    </w:p>
    <w:p w14:paraId="3A5F87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2</w:t>
      </w:r>
      <w:r>
        <w:rPr>
          <w:rFonts w:hint="eastAsia" w:asciiTheme="minorEastAsia" w:hAnsiTheme="minorEastAsia" w:eastAsiaTheme="minorEastAsia"/>
          <w:bCs/>
          <w:color w:val="auto"/>
          <w:sz w:val="21"/>
          <w:szCs w:val="21"/>
        </w:rPr>
        <w:t>）</w:t>
      </w:r>
      <w:r>
        <w:rPr>
          <w:rFonts w:hint="eastAsia" w:ascii="宋体" w:hAnsi="宋体" w:cs="宋体"/>
          <w:color w:val="auto"/>
          <w:sz w:val="21"/>
          <w:szCs w:val="21"/>
          <w:lang w:val="en-US" w:eastAsia="zh-CN"/>
        </w:rPr>
        <w:t>气体终端</w:t>
      </w:r>
      <w:r>
        <w:rPr>
          <w:rFonts w:hint="eastAsia" w:ascii="宋体" w:hAnsi="宋体" w:eastAsia="宋体" w:cs="宋体"/>
          <w:color w:val="auto"/>
          <w:sz w:val="21"/>
          <w:szCs w:val="21"/>
          <w:lang w:val="en-US" w:eastAsia="zh-CN"/>
        </w:rPr>
        <w:t>主材采用铜材料。</w:t>
      </w:r>
    </w:p>
    <w:p w14:paraId="442460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3</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超大流量设计,所有正</w:t>
      </w:r>
      <w:r>
        <w:rPr>
          <w:rFonts w:hint="eastAsia" w:ascii="宋体" w:hAnsi="宋体" w:cs="宋体"/>
          <w:color w:val="auto"/>
          <w:sz w:val="21"/>
          <w:szCs w:val="21"/>
          <w:lang w:val="en-US" w:eastAsia="zh-CN"/>
        </w:rPr>
        <w:t>压</w:t>
      </w:r>
      <w:r>
        <w:rPr>
          <w:rFonts w:hint="eastAsia" w:ascii="宋体" w:hAnsi="宋体" w:eastAsia="宋体" w:cs="宋体"/>
          <w:color w:val="auto"/>
          <w:sz w:val="21"/>
          <w:szCs w:val="21"/>
          <w:lang w:val="en-US" w:eastAsia="zh-CN"/>
        </w:rPr>
        <w:t>气体终端，单一出气口流量瞬间能达到100L/min时，流量至少能维持3秒钟，一般流量大于80L/min。负压</w:t>
      </w:r>
      <w:r>
        <w:rPr>
          <w:rFonts w:hint="eastAsia" w:ascii="宋体" w:hAnsi="宋体" w:cs="宋体"/>
          <w:color w:val="auto"/>
          <w:sz w:val="21"/>
          <w:szCs w:val="21"/>
          <w:lang w:val="en-US" w:eastAsia="zh-CN"/>
        </w:rPr>
        <w:t>气体</w:t>
      </w:r>
      <w:r>
        <w:rPr>
          <w:rFonts w:hint="eastAsia" w:ascii="宋体" w:hAnsi="宋体" w:eastAsia="宋体" w:cs="宋体"/>
          <w:color w:val="auto"/>
          <w:sz w:val="21"/>
          <w:szCs w:val="21"/>
          <w:lang w:val="en-US" w:eastAsia="zh-CN"/>
        </w:rPr>
        <w:t>终端，单一出气口流量瞬间能达到</w:t>
      </w:r>
      <w:r>
        <w:rPr>
          <w:rFonts w:hint="eastAsia" w:ascii="宋体" w:hAnsi="宋体" w:cs="宋体"/>
          <w:color w:val="auto"/>
          <w:sz w:val="21"/>
          <w:szCs w:val="21"/>
          <w:lang w:val="en-US" w:eastAsia="zh-CN"/>
        </w:rPr>
        <w:t>10</w:t>
      </w:r>
      <w:r>
        <w:rPr>
          <w:rFonts w:hint="eastAsia" w:ascii="宋体" w:hAnsi="宋体" w:eastAsia="宋体" w:cs="宋体"/>
          <w:color w:val="auto"/>
          <w:sz w:val="21"/>
          <w:szCs w:val="21"/>
          <w:lang w:val="en-US" w:eastAsia="zh-CN"/>
        </w:rPr>
        <w:t>0L/min时，流量至少能维持3秒钟，一般流量大于60L/min。</w:t>
      </w:r>
    </w:p>
    <w:p w14:paraId="35EE58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4</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100%气密性实验。</w:t>
      </w:r>
    </w:p>
    <w:p w14:paraId="5076B5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5</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采用ISO32颜色标准识别气体。</w:t>
      </w:r>
    </w:p>
    <w:p w14:paraId="1D573C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6</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采用不同定位度数以区分不同气体。</w:t>
      </w:r>
    </w:p>
    <w:p w14:paraId="183B04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7</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连接方式可分为球帽、焊接、卡套、锁套等。</w:t>
      </w:r>
    </w:p>
    <w:p w14:paraId="64D074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8</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插座高度根据设备带高度制造。</w:t>
      </w:r>
    </w:p>
    <w:p w14:paraId="2634A5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val="en-US" w:eastAsia="zh-CN"/>
        </w:rPr>
      </w:pPr>
      <w:r>
        <w:rPr>
          <w:rFonts w:hint="eastAsia"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lang w:val="en-US" w:eastAsia="zh-CN"/>
        </w:rPr>
        <w:t>9</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最大工作压力为0.75MPA。</w:t>
      </w:r>
    </w:p>
    <w:p w14:paraId="1A3DD5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eastAsia="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0</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val="en-US" w:eastAsia="zh-CN"/>
        </w:rPr>
        <w:t>▲100000次插拔无故障</w:t>
      </w:r>
    </w:p>
    <w:p w14:paraId="54ECA7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1</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气体终端外壳</w:t>
      </w:r>
      <w:r>
        <w:rPr>
          <w:rFonts w:hint="eastAsia" w:ascii="宋体" w:hAnsi="宋体" w:eastAsia="宋体" w:cs="宋体"/>
          <w:color w:val="auto"/>
          <w:sz w:val="21"/>
          <w:szCs w:val="21"/>
          <w:lang w:eastAsia="zh-CN"/>
        </w:rPr>
        <w:t>具有防尘保护等第三方证明。</w:t>
      </w:r>
    </w:p>
    <w:p w14:paraId="71E80C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2</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eastAsia="zh-CN"/>
        </w:rPr>
        <w:t>▲终端符合（</w:t>
      </w:r>
      <w:r>
        <w:rPr>
          <w:rFonts w:hint="eastAsia" w:ascii="宋体" w:hAnsi="宋体" w:eastAsia="宋体" w:cs="宋体"/>
          <w:color w:val="auto"/>
          <w:sz w:val="21"/>
          <w:szCs w:val="21"/>
          <w:lang w:val="en-US" w:eastAsia="zh-CN"/>
        </w:rPr>
        <w:t>2011/65/EU-关于在电子电气设备中限制使用某些有害物质指令（ROHS）</w:t>
      </w:r>
      <w:r>
        <w:rPr>
          <w:rFonts w:hint="eastAsia" w:ascii="宋体" w:hAnsi="宋体" w:eastAsia="宋体" w:cs="宋体"/>
          <w:color w:val="auto"/>
          <w:sz w:val="21"/>
          <w:szCs w:val="21"/>
          <w:lang w:eastAsia="zh-CN"/>
        </w:rPr>
        <w:t>）的要求</w:t>
      </w:r>
      <w:r>
        <w:rPr>
          <w:rFonts w:hint="eastAsia" w:ascii="宋体" w:hAnsi="宋体" w:cs="宋体"/>
          <w:color w:val="auto"/>
          <w:sz w:val="21"/>
          <w:szCs w:val="21"/>
          <w:lang w:eastAsia="zh-CN"/>
        </w:rPr>
        <w:t>。</w:t>
      </w:r>
    </w:p>
    <w:p w14:paraId="0672FF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3</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终端具有建筑电气安全防火第三方检测报告进行证明（检验依据：GB 8624-2012;</w:t>
      </w:r>
      <w:r>
        <w:rPr>
          <w:rFonts w:hint="eastAsia" w:ascii="宋体" w:hAnsi="宋体" w:cs="宋体"/>
          <w:color w:val="auto"/>
          <w:sz w:val="21"/>
          <w:szCs w:val="21"/>
          <w:lang w:val="en-US" w:eastAsia="zh-CN"/>
        </w:rPr>
        <w:t>建筑电气安全防火</w:t>
      </w:r>
      <w:r>
        <w:rPr>
          <w:rFonts w:hint="eastAsia" w:ascii="宋体" w:hAnsi="宋体" w:eastAsia="宋体" w:cs="宋体"/>
          <w:color w:val="auto"/>
          <w:sz w:val="21"/>
          <w:szCs w:val="21"/>
          <w:lang w:val="en-US" w:eastAsia="zh-CN"/>
        </w:rPr>
        <w:t>燃烧性能达到A(A2)级以上）</w:t>
      </w:r>
      <w:r>
        <w:rPr>
          <w:rFonts w:hint="eastAsia" w:ascii="宋体" w:hAnsi="宋体" w:cs="宋体"/>
          <w:color w:val="auto"/>
          <w:sz w:val="21"/>
          <w:szCs w:val="21"/>
          <w:lang w:val="en-US" w:eastAsia="zh-CN"/>
        </w:rPr>
        <w:t>。</w:t>
      </w:r>
    </w:p>
    <w:p w14:paraId="1C5E24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4</w:t>
      </w:r>
      <w:r>
        <w:rPr>
          <w:rFonts w:hint="eastAsia" w:asciiTheme="minorEastAsia" w:hAnsiTheme="minorEastAsia" w:eastAsiaTheme="minorEastAsia"/>
          <w:bCs/>
          <w:color w:val="auto"/>
          <w:sz w:val="21"/>
          <w:szCs w:val="21"/>
        </w:rPr>
        <w:t>）</w:t>
      </w:r>
      <w:r>
        <w:rPr>
          <w:rFonts w:hint="eastAsia"/>
          <w:color w:val="auto"/>
          <w:sz w:val="21"/>
          <w:szCs w:val="21"/>
        </w:rPr>
        <w:t>▲</w:t>
      </w:r>
      <w:r>
        <w:rPr>
          <w:rFonts w:hint="eastAsia" w:ascii="宋体" w:hAnsi="宋体" w:cs="宋体"/>
          <w:color w:val="auto"/>
          <w:sz w:val="21"/>
          <w:szCs w:val="21"/>
        </w:rPr>
        <w:t>通过国家食药监局YY 0801.1-2010《医用气体管道系统终端第1部分：用于压缩医用气体和真空的终端》标准的检测，并出具检测报告，检验报告应包含对终端安全性结构、压力、泄漏和压降的检测</w:t>
      </w:r>
      <w:r>
        <w:rPr>
          <w:rFonts w:hint="eastAsia" w:ascii="宋体" w:hAnsi="宋体" w:cs="宋体"/>
          <w:color w:val="auto"/>
          <w:sz w:val="21"/>
          <w:szCs w:val="21"/>
          <w:lang w:eastAsia="zh-CN"/>
        </w:rPr>
        <w:t>。</w:t>
      </w:r>
    </w:p>
    <w:p w14:paraId="0ABDA1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5</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气体终端配套的医用氧气湿化器，能提供二类医疗器械注册证。</w:t>
      </w:r>
    </w:p>
    <w:p w14:paraId="4B02BC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105" w:firstLineChars="50"/>
        <w:textAlignment w:val="auto"/>
        <w:rPr>
          <w:rFonts w:hint="eastAsia" w:ascii="宋体" w:hAnsi="宋体" w:cs="宋体"/>
          <w:color w:val="auto"/>
          <w:sz w:val="21"/>
          <w:szCs w:val="21"/>
          <w:lang w:eastAsia="zh-CN"/>
        </w:rPr>
      </w:pPr>
      <w:r>
        <w:rPr>
          <w:rFonts w:hint="eastAsia" w:asciiTheme="minorEastAsia" w:hAnsiTheme="minorEastAsia" w:eastAsiaTheme="minorEastAsia"/>
          <w:bCs/>
          <w:color w:val="auto"/>
          <w:sz w:val="21"/>
          <w:szCs w:val="21"/>
        </w:rPr>
        <w:t>（1</w:t>
      </w:r>
      <w:r>
        <w:rPr>
          <w:rFonts w:hint="eastAsia" w:asciiTheme="minorEastAsia" w:hAnsiTheme="minorEastAsia" w:eastAsiaTheme="minorEastAsia"/>
          <w:bCs/>
          <w:color w:val="auto"/>
          <w:sz w:val="21"/>
          <w:szCs w:val="21"/>
          <w:lang w:val="en-US" w:eastAsia="zh-CN"/>
        </w:rPr>
        <w:t>6</w:t>
      </w:r>
      <w:r>
        <w:rPr>
          <w:rFonts w:hint="eastAsia" w:asciiTheme="minorEastAsia" w:hAnsiTheme="minorEastAsia" w:eastAsiaTheme="minorEastAsia"/>
          <w:bCs/>
          <w:color w:val="auto"/>
          <w:sz w:val="21"/>
          <w:szCs w:val="21"/>
        </w:rPr>
        <w:t>）</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生产厂家，应具备职业健康安全管理体系认证证书。</w:t>
      </w:r>
    </w:p>
    <w:p w14:paraId="7EC364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2</w:t>
      </w:r>
      <w:r>
        <w:rPr>
          <w:rFonts w:hint="eastAsia" w:ascii="宋体" w:hAnsi="宋体" w:eastAsia="宋体"/>
          <w:color w:val="auto"/>
          <w:sz w:val="21"/>
          <w:szCs w:val="21"/>
          <w:lang w:val="en-US" w:eastAsia="zh-CN"/>
        </w:rPr>
        <w:t>.3配套电器</w:t>
      </w:r>
    </w:p>
    <w:p w14:paraId="700213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   电源插座与检查灯开关选用国内知名品牌，美观大方、品质卓越。医用电源的电压：220V，额定电流：10A。电源插座采用五孔多功能电源插座，可插两线、三线插头。 医用设备带安装的检查灯为暗装式。床头灯设置在床头正上方，开关单独设置。</w:t>
      </w:r>
    </w:p>
    <w:p w14:paraId="64C982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firstLineChars="200"/>
        <w:jc w:val="both"/>
        <w:textAlignment w:val="auto"/>
        <w:outlineLvl w:val="9"/>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2</w:t>
      </w:r>
      <w:r>
        <w:rPr>
          <w:rFonts w:hint="eastAsia" w:ascii="宋体" w:hAnsi="宋体" w:eastAsia="宋体"/>
          <w:color w:val="auto"/>
          <w:sz w:val="21"/>
          <w:szCs w:val="21"/>
          <w:lang w:val="en-US" w:eastAsia="zh-CN"/>
        </w:rPr>
        <w:t>.4终端配置要求</w:t>
      </w:r>
    </w:p>
    <w:p w14:paraId="4C88C3C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right="0" w:rightChars="0" w:firstLine="0" w:firstLineChars="0"/>
        <w:jc w:val="both"/>
        <w:textAlignment w:val="auto"/>
        <w:outlineLvl w:val="9"/>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 xml:space="preserve">、普通病房设备带上每床安装氧气终端出口座、吸引终端出口座、检查灯、灯开关、病床呼叫分机各1只、多功能二三插面板2个;  </w:t>
      </w:r>
    </w:p>
    <w:p w14:paraId="665511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olor w:val="auto"/>
          <w:sz w:val="21"/>
          <w:szCs w:val="21"/>
          <w:lang w:val="en-US" w:eastAsia="zh-CN"/>
        </w:rPr>
      </w:pPr>
    </w:p>
    <w:p w14:paraId="2BCD0F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olor w:val="auto"/>
          <w:sz w:val="21"/>
          <w:szCs w:val="21"/>
          <w:lang w:val="en-US" w:eastAsia="zh-CN"/>
        </w:rPr>
      </w:pPr>
    </w:p>
    <w:p w14:paraId="389622AD">
      <w:pPr>
        <w:keepNext w:val="0"/>
        <w:keepLines w:val="0"/>
        <w:pageBreakBefore w:val="0"/>
        <w:widowControl w:val="0"/>
        <w:kinsoku/>
        <w:wordWrap/>
        <w:overflowPunct/>
        <w:topLinePunct w:val="0"/>
        <w:autoSpaceDE/>
        <w:autoSpaceDN/>
        <w:bidi w:val="0"/>
        <w:adjustRightInd/>
        <w:snapToGrid/>
        <w:spacing w:line="360" w:lineRule="auto"/>
        <w:ind w:right="0" w:rightChars="0" w:firstLine="460" w:firstLineChars="218"/>
        <w:jc w:val="both"/>
        <w:textAlignment w:val="auto"/>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lang w:val="en-US" w:eastAsia="zh-CN"/>
        </w:rPr>
        <w:t>3</w:t>
      </w:r>
      <w:r>
        <w:rPr>
          <w:rFonts w:hint="eastAsia" w:asciiTheme="minorEastAsia" w:hAnsiTheme="minorEastAsia" w:eastAsiaTheme="minorEastAsia"/>
          <w:b/>
          <w:color w:val="auto"/>
          <w:sz w:val="21"/>
          <w:szCs w:val="21"/>
        </w:rPr>
        <w:t>.医用传呼对讲系统：</w:t>
      </w:r>
    </w:p>
    <w:p w14:paraId="4F21225E">
      <w:pPr>
        <w:pStyle w:val="3"/>
        <w:pageBreakBefore w:val="0"/>
        <w:kinsoku/>
        <w:wordWrap/>
        <w:overflowPunct/>
        <w:topLinePunct w:val="0"/>
        <w:autoSpaceDE/>
        <w:autoSpaceDN/>
        <w:bidi w:val="0"/>
        <w:adjustRightInd/>
        <w:spacing w:before="0" w:beforeLines="0" w:line="360" w:lineRule="auto"/>
        <w:ind w:left="0" w:leftChars="0"/>
        <w:textAlignment w:val="auto"/>
        <w:rPr>
          <w:rFonts w:hint="eastAsia" w:ascii="宋体" w:hAnsi="宋体" w:eastAsia="宋体" w:cs="宋体"/>
          <w:color w:val="auto"/>
          <w:sz w:val="21"/>
          <w:szCs w:val="21"/>
        </w:rPr>
      </w:pPr>
      <w:bookmarkStart w:id="0" w:name="_Toc22184"/>
      <w:r>
        <w:rPr>
          <w:rFonts w:hint="eastAsia"/>
          <w:color w:val="auto"/>
          <w:sz w:val="21"/>
          <w:szCs w:val="21"/>
          <w:lang w:val="en-US" w:eastAsia="zh-CN"/>
        </w:rPr>
        <w:t>3.</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系统配置</w:t>
      </w:r>
      <w:bookmarkEnd w:id="0"/>
    </w:p>
    <w:p w14:paraId="6C2ABDCB">
      <w:pPr>
        <w:pStyle w:val="8"/>
        <w:keepNext w:val="0"/>
        <w:keepLines w:val="0"/>
        <w:pageBreakBefore w:val="0"/>
        <w:kinsoku/>
        <w:wordWrap/>
        <w:overflowPunct/>
        <w:topLinePunct w:val="0"/>
        <w:autoSpaceDE/>
        <w:autoSpaceDN/>
        <w:bidi w:val="0"/>
        <w:adjustRightInd/>
        <w:snapToGrid w:val="0"/>
        <w:spacing w:before="0" w:beforeLines="0" w:beforeAutospacing="0" w:after="0" w:afterAutospacing="0" w:line="360" w:lineRule="auto"/>
        <w:ind w:left="0" w:leftChars="0" w:firstLine="422" w:firstLineChars="200"/>
        <w:textAlignment w:val="auto"/>
        <w:outlineLvl w:val="9"/>
        <w:rPr>
          <w:rFonts w:hint="eastAsia" w:ascii="宋体" w:hAnsi="宋体" w:eastAsia="宋体" w:cs="宋体"/>
          <w:bCs/>
          <w:color w:val="auto"/>
          <w:sz w:val="21"/>
          <w:szCs w:val="21"/>
        </w:rPr>
      </w:pPr>
      <w:r>
        <w:rPr>
          <w:rFonts w:hint="eastAsia" w:ascii="宋体" w:hAnsi="宋体" w:eastAsia="宋体" w:cs="宋体"/>
          <w:b/>
          <w:bCs/>
          <w:color w:val="auto"/>
          <w:sz w:val="21"/>
          <w:szCs w:val="21"/>
        </w:rPr>
        <w:t xml:space="preserve">   </w:t>
      </w:r>
      <w:r>
        <w:rPr>
          <w:rFonts w:hint="eastAsia" w:ascii="宋体" w:hAnsi="宋体" w:eastAsia="宋体" w:cs="宋体"/>
          <w:color w:val="auto"/>
          <w:sz w:val="21"/>
          <w:szCs w:val="21"/>
        </w:rPr>
        <w:t>智能护理通讯系统包括主机，分机</w:t>
      </w:r>
      <w:r>
        <w:rPr>
          <w:rFonts w:hint="eastAsia" w:ascii="宋体" w:hAnsi="宋体" w:eastAsia="宋体" w:cs="宋体"/>
          <w:color w:val="auto"/>
          <w:sz w:val="21"/>
          <w:szCs w:val="21"/>
          <w:lang w:eastAsia="zh-CN"/>
        </w:rPr>
        <w:t>（含</w:t>
      </w:r>
      <w:r>
        <w:rPr>
          <w:rFonts w:hint="eastAsia" w:ascii="宋体" w:hAnsi="宋体" w:eastAsia="宋体" w:cs="宋体"/>
          <w:color w:val="auto"/>
          <w:sz w:val="21"/>
          <w:szCs w:val="21"/>
        </w:rPr>
        <w:t>呼叫开关线</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，卫生间分机，门灯，</w:t>
      </w:r>
      <w:r>
        <w:rPr>
          <w:rFonts w:hint="eastAsia" w:ascii="宋体" w:hAnsi="宋体" w:eastAsia="宋体" w:cs="宋体"/>
          <w:color w:val="auto"/>
          <w:sz w:val="21"/>
          <w:szCs w:val="21"/>
          <w:lang w:eastAsia="zh-CN"/>
        </w:rPr>
        <w:t>走廊</w:t>
      </w:r>
      <w:r>
        <w:rPr>
          <w:rFonts w:hint="eastAsia" w:ascii="宋体" w:hAnsi="宋体" w:eastAsia="宋体" w:cs="宋体"/>
          <w:color w:val="auto"/>
          <w:sz w:val="21"/>
          <w:szCs w:val="21"/>
        </w:rPr>
        <w:t>显示屏，</w:t>
      </w:r>
      <w:r>
        <w:rPr>
          <w:rFonts w:hint="eastAsia" w:ascii="宋体" w:hAnsi="宋体" w:eastAsia="宋体" w:cs="宋体"/>
          <w:color w:val="auto"/>
          <w:sz w:val="21"/>
          <w:szCs w:val="21"/>
          <w:lang w:eastAsia="zh-CN"/>
        </w:rPr>
        <w:t>护士站主</w:t>
      </w:r>
      <w:r>
        <w:rPr>
          <w:rFonts w:hint="eastAsia" w:ascii="宋体" w:hAnsi="宋体" w:eastAsia="宋体" w:cs="宋体"/>
          <w:color w:val="auto"/>
          <w:sz w:val="21"/>
          <w:szCs w:val="21"/>
        </w:rPr>
        <w:t>话机等几部分。系统不分正负两芯线联网，无需剪断总线，布线方便高效、安装简便快捷；分机、卫生间分机、门灯全部并联接入总线，即接即用，兼容性、扩展性都有了很大提高。</w:t>
      </w:r>
    </w:p>
    <w:p w14:paraId="4943A48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主机：5寸彩色液晶显示屏。主机面板采用5寸彩色液晶显示屏用作信息显示；显示呼叫、年月日、时间、住院人数、宣教广播、亮度设定、主题选择、系统设置等信息。</w:t>
      </w:r>
    </w:p>
    <w:p w14:paraId="0FA5758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灯键一体开关、透明床位卡设计。主机面板数字按钮采用灯键一体设计，分机呼叫主机时，按键灯闪烁，提示值班人员有分机呼叫。</w:t>
      </w:r>
    </w:p>
    <w:p w14:paraId="4E6C806B">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床位颜色设定，31种颜色标识。可任意设定31种颜色，以适应不同的护理级别颜色。</w:t>
      </w:r>
    </w:p>
    <w:p w14:paraId="691DB6F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trike w:val="0"/>
          <w:dstrike w:val="0"/>
          <w:color w:val="auto"/>
          <w:sz w:val="21"/>
          <w:szCs w:val="21"/>
          <w:lang w:val="en-US" w:eastAsia="zh-CN"/>
        </w:rPr>
      </w:pPr>
      <w:r>
        <w:rPr>
          <w:rFonts w:hint="eastAsia" w:ascii="宋体" w:hAnsi="宋体" w:eastAsia="宋体" w:cs="宋体"/>
          <w:color w:val="auto"/>
          <w:sz w:val="21"/>
          <w:szCs w:val="21"/>
          <w:lang w:val="en-US" w:eastAsia="zh-CN"/>
        </w:rPr>
        <w:t>双向呼叫、双工通话。分机按橘红按键呼叫,主机摘机即可通话；主机按相应按键,也可与分机通话。</w:t>
      </w:r>
    </w:p>
    <w:p w14:paraId="0739BA4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话筒宣教广播、语音广播。按主机菜单键,可根据提示来设定分机号,把分机作为广播机,对分机进行宣教广播和话筒广播。</w:t>
      </w:r>
    </w:p>
    <w:p w14:paraId="55BA7506">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分机呼叫主机时，主机音乐响铃或语音报号，电话振铃提示值班人员。</w:t>
      </w:r>
    </w:p>
    <w:p w14:paraId="0EA2FEB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通话音量调节。按主机菜单键，找到通话音量选项，可设置主机通话音量和分机通话音量。</w:t>
      </w:r>
    </w:p>
    <w:p w14:paraId="7F66380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短路报警、故障自动检测。主机可监测总线短路故障并报警提示。</w:t>
      </w:r>
    </w:p>
    <w:p w14:paraId="47E24651">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主机外设网络接口、显示屏接口、点阵屏接口、主话机接口、副话机、分机总线等接口，可通过网络交换机协同IP医护主机进行多病区互联，实现跨病区呼叫转接托管等功能。</w:t>
      </w:r>
    </w:p>
    <w:p w14:paraId="0EF2E10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连接到NTP服务器，在主机输入服务器的IP地址，可自动校正时间。</w:t>
      </w:r>
    </w:p>
    <w:p w14:paraId="2CA0C58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分机在线编号。分机接入主机，可任意设置分机号码。</w:t>
      </w:r>
    </w:p>
    <w:p w14:paraId="661D3CE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分机设定广播机。分机可设置为广播分机，用来宣教广播和话筒广播。</w:t>
      </w:r>
    </w:p>
    <w:p w14:paraId="760248B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▲主机外壳采用抗菌防霉材质，尽最大可能防止交叉感染，保护医护人员安全。</w:t>
      </w:r>
    </w:p>
    <w:p w14:paraId="07B9714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▲分机、呼叫手柄外壳采用抗菌防霉材质，尽最大可能防止交叉感染，保护使用人员安全。</w:t>
      </w:r>
    </w:p>
    <w:p w14:paraId="0297A44A">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卫生间分机：▲86盒安装，防水防尘设计，防水等级不低于IP68，适合卫生间、淋浴间等潮湿环境使用</w:t>
      </w:r>
    </w:p>
    <w:p w14:paraId="2E9B22F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卫生间分机：▲醒目大按键设计，可一键呼叫；具有单独的物理取消按键，按键可单独物理取消，防止使用者误触发</w:t>
      </w:r>
    </w:p>
    <w:p w14:paraId="639C91B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系统联网软件：▲B/S架构，支持与Oracle、SQLServer、DB2、数据库和第三方数据接口对接。可根据实际工作需要，进行功能扩展，增加定制功能</w:t>
      </w:r>
    </w:p>
    <w:p w14:paraId="2E441F4A">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hanging="425" w:firstLineChars="0"/>
        <w:textAlignment w:val="auto"/>
        <w:outlineLvl w:val="9"/>
        <w:rPr>
          <w:rFonts w:hint="eastAsia" w:asciiTheme="minorEastAsia" w:hAnsiTheme="minorEastAsia" w:eastAsiaTheme="minorEastAsia"/>
          <w:b/>
          <w:bCs/>
          <w:color w:val="auto"/>
          <w:sz w:val="21"/>
          <w:szCs w:val="21"/>
          <w:lang w:val="en-US" w:eastAsia="zh-CN"/>
        </w:rPr>
      </w:pPr>
      <w:r>
        <w:rPr>
          <w:rFonts w:hint="eastAsia" w:ascii="宋体" w:hAnsi="宋体" w:eastAsia="宋体" w:cs="宋体"/>
          <w:color w:val="auto"/>
          <w:sz w:val="21"/>
          <w:szCs w:val="21"/>
          <w:lang w:val="en-US" w:eastAsia="zh-CN"/>
        </w:rPr>
        <w:t>系统联网软件：▲系统软件需自主研发，完全自主知识产权，需提供软件著作权证书。</w:t>
      </w:r>
      <w:r>
        <w:rPr>
          <w:rFonts w:hint="eastAsia" w:asciiTheme="minorEastAsia" w:hAnsiTheme="minorEastAsia" w:eastAsiaTheme="minorEastAsia"/>
          <w:b/>
          <w:bCs/>
          <w:color w:val="auto"/>
          <w:sz w:val="21"/>
          <w:szCs w:val="21"/>
          <w:lang w:val="en-US" w:eastAsia="zh-CN"/>
        </w:rPr>
        <w:br w:type="page"/>
      </w:r>
    </w:p>
    <w:p w14:paraId="54AD60AD">
      <w:pPr>
        <w:pStyle w:val="12"/>
        <w:numPr>
          <w:ilvl w:val="0"/>
          <w:numId w:val="0"/>
        </w:numPr>
        <w:kinsoku/>
        <w:wordWrap/>
        <w:overflowPunct/>
        <w:topLinePunct w:val="0"/>
        <w:autoSpaceDE/>
        <w:autoSpaceDN/>
        <w:bidi w:val="0"/>
        <w:adjustRightInd/>
        <w:spacing w:line="360" w:lineRule="auto"/>
        <w:jc w:val="center"/>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第三章  报价要求</w:t>
      </w:r>
    </w:p>
    <w:p w14:paraId="4615B1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Ansi="宋体" w:eastAsia="宋体"/>
          <w:b/>
          <w:bCs/>
          <w:color w:val="auto"/>
          <w:sz w:val="21"/>
          <w:szCs w:val="21"/>
          <w:lang w:val="en-US" w:eastAsia="zh-CN"/>
        </w:rPr>
      </w:pPr>
      <w:r>
        <w:rPr>
          <w:rFonts w:hint="eastAsia"/>
          <w:b/>
          <w:bCs/>
          <w:color w:val="auto"/>
          <w:lang w:val="en-US" w:eastAsia="zh-CN"/>
        </w:rPr>
        <w:t>一</w:t>
      </w:r>
      <w:r>
        <w:rPr>
          <w:rFonts w:hint="default"/>
          <w:b/>
          <w:bCs/>
          <w:color w:val="auto"/>
          <w:lang w:val="en-US" w:eastAsia="zh-CN"/>
        </w:rPr>
        <w:t>、最高限价</w:t>
      </w:r>
      <w:r>
        <w:rPr>
          <w:rFonts w:hint="default"/>
          <w:color w:val="auto"/>
          <w:lang w:val="en-US" w:eastAsia="zh-CN"/>
        </w:rPr>
        <w:t xml:space="preserve">：¥ </w:t>
      </w:r>
      <w:r>
        <w:rPr>
          <w:rFonts w:hint="eastAsia"/>
          <w:color w:val="auto"/>
          <w:lang w:val="en-US" w:eastAsia="zh-CN"/>
        </w:rPr>
        <w:t>80000</w:t>
      </w:r>
      <w:bookmarkStart w:id="1" w:name="_GoBack"/>
      <w:bookmarkEnd w:id="1"/>
      <w:r>
        <w:rPr>
          <w:rFonts w:hint="default"/>
          <w:color w:val="auto"/>
          <w:lang w:val="en-US" w:eastAsia="zh-CN"/>
        </w:rPr>
        <w:t xml:space="preserve"> .00元，投标报价应包括：本项目采购货物运至采购人指定地点的安装费、人工费、包装费、仓储费、运输及保险费、装卸费、计量检测/校准费、质保期服务费、商检费、税费及项目实施过程中不可预见费用（参与响应的响应文件编制费）等。如果中标人在中标并签署合同后，在承包期内出现的任何遗漏，均由中标人负责。</w:t>
      </w:r>
    </w:p>
    <w:p w14:paraId="5A951EDF">
      <w:pPr>
        <w:tabs>
          <w:tab w:val="left" w:pos="480"/>
          <w:tab w:val="left" w:pos="720"/>
        </w:tabs>
        <w:kinsoku/>
        <w:wordWrap/>
        <w:overflowPunct/>
        <w:topLinePunct w:val="0"/>
        <w:autoSpaceDE/>
        <w:autoSpaceDN/>
        <w:bidi w:val="0"/>
        <w:adjustRightInd/>
        <w:spacing w:line="360" w:lineRule="auto"/>
        <w:rPr>
          <w:rFonts w:hint="eastAsia" w:hAnsi="宋体"/>
          <w:b/>
          <w:bCs/>
          <w:color w:val="auto"/>
          <w:sz w:val="21"/>
          <w:szCs w:val="21"/>
          <w:lang w:eastAsia="zh-CN"/>
        </w:rPr>
      </w:pPr>
      <w:r>
        <w:rPr>
          <w:rFonts w:hint="eastAsia" w:hAnsi="宋体"/>
          <w:b/>
          <w:bCs/>
          <w:color w:val="auto"/>
          <w:sz w:val="21"/>
          <w:szCs w:val="21"/>
          <w:lang w:eastAsia="zh-CN"/>
        </w:rPr>
        <w:t>附：</w:t>
      </w:r>
      <w:r>
        <w:rPr>
          <w:rFonts w:hint="eastAsia" w:hAnsi="宋体"/>
          <w:b/>
          <w:bCs/>
          <w:color w:val="auto"/>
          <w:sz w:val="21"/>
          <w:szCs w:val="21"/>
          <w:lang w:val="en-US" w:eastAsia="zh-CN"/>
        </w:rPr>
        <w:t>采购报价</w:t>
      </w:r>
      <w:r>
        <w:rPr>
          <w:rFonts w:hint="eastAsia" w:hAnsi="宋体"/>
          <w:b/>
          <w:bCs/>
          <w:color w:val="auto"/>
          <w:sz w:val="21"/>
          <w:szCs w:val="21"/>
          <w:lang w:eastAsia="zh-CN"/>
        </w:rPr>
        <w:t>清单</w:t>
      </w:r>
    </w:p>
    <w:tbl>
      <w:tblPr>
        <w:tblStyle w:val="9"/>
        <w:tblW w:w="9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1440"/>
        <w:gridCol w:w="2640"/>
        <w:gridCol w:w="525"/>
        <w:gridCol w:w="960"/>
        <w:gridCol w:w="1080"/>
        <w:gridCol w:w="1101"/>
        <w:gridCol w:w="661"/>
      </w:tblGrid>
      <w:tr w14:paraId="46EBE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B88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47CC8054">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设备/材料名称</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DCE3">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型号/规格/配置</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96BF">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FD04">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工程量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137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综合单价</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204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综合</w:t>
            </w:r>
            <w:r>
              <w:rPr>
                <w:rFonts w:hint="eastAsia" w:ascii="宋体" w:hAnsi="宋体" w:cs="宋体"/>
                <w:b/>
                <w:bCs/>
                <w:i w:val="0"/>
                <w:iCs w:val="0"/>
                <w:color w:val="auto"/>
                <w:kern w:val="0"/>
                <w:sz w:val="20"/>
                <w:szCs w:val="20"/>
                <w:u w:val="none"/>
                <w:lang w:val="en-US" w:eastAsia="zh-CN" w:bidi="ar"/>
              </w:rPr>
              <w:t>总</w:t>
            </w:r>
            <w:r>
              <w:rPr>
                <w:rFonts w:hint="eastAsia" w:ascii="宋体" w:hAnsi="宋体" w:eastAsia="宋体" w:cs="宋体"/>
                <w:b/>
                <w:bCs/>
                <w:i w:val="0"/>
                <w:iCs w:val="0"/>
                <w:color w:val="auto"/>
                <w:kern w:val="0"/>
                <w:sz w:val="20"/>
                <w:szCs w:val="20"/>
                <w:u w:val="none"/>
                <w:lang w:val="en-US" w:eastAsia="zh-CN" w:bidi="ar"/>
              </w:rPr>
              <w:t>价</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2C8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57CC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793" w:type="dxa"/>
            <w:gridSpan w:val="3"/>
            <w:tcBorders>
              <w:top w:val="single" w:color="000000" w:sz="4" w:space="0"/>
              <w:left w:val="single" w:color="000000" w:sz="4" w:space="0"/>
              <w:bottom w:val="single" w:color="000000" w:sz="4" w:space="0"/>
              <w:right w:val="nil"/>
            </w:tcBorders>
            <w:shd w:val="clear" w:color="auto" w:fill="auto"/>
            <w:noWrap/>
            <w:vAlign w:val="center"/>
          </w:tcPr>
          <w:p w14:paraId="5B43A778">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一、氧气管路系统</w:t>
            </w:r>
          </w:p>
        </w:tc>
        <w:tc>
          <w:tcPr>
            <w:tcW w:w="525" w:type="dxa"/>
            <w:tcBorders>
              <w:top w:val="single" w:color="000000" w:sz="4" w:space="0"/>
              <w:left w:val="nil"/>
              <w:bottom w:val="single" w:color="000000" w:sz="4" w:space="0"/>
              <w:right w:val="nil"/>
            </w:tcBorders>
            <w:shd w:val="clear" w:color="auto" w:fill="auto"/>
            <w:noWrap/>
            <w:vAlign w:val="center"/>
          </w:tcPr>
          <w:p w14:paraId="39E48E84">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960" w:type="dxa"/>
            <w:tcBorders>
              <w:top w:val="single" w:color="000000" w:sz="4" w:space="0"/>
              <w:left w:val="nil"/>
              <w:bottom w:val="single" w:color="000000" w:sz="4" w:space="0"/>
              <w:right w:val="nil"/>
            </w:tcBorders>
            <w:shd w:val="clear" w:color="auto" w:fill="auto"/>
            <w:noWrap/>
            <w:vAlign w:val="center"/>
          </w:tcPr>
          <w:p w14:paraId="4A57AEB7">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1080" w:type="dxa"/>
            <w:tcBorders>
              <w:top w:val="single" w:color="000000" w:sz="4" w:space="0"/>
              <w:left w:val="nil"/>
              <w:bottom w:val="single" w:color="000000" w:sz="4" w:space="0"/>
              <w:right w:val="nil"/>
            </w:tcBorders>
            <w:shd w:val="clear" w:color="auto" w:fill="auto"/>
            <w:noWrap/>
            <w:vAlign w:val="center"/>
          </w:tcPr>
          <w:p w14:paraId="771098F9">
            <w:pPr>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0"/>
                <w:szCs w:val="20"/>
                <w:u w:val="none"/>
              </w:rPr>
            </w:pPr>
          </w:p>
        </w:tc>
        <w:tc>
          <w:tcPr>
            <w:tcW w:w="1101" w:type="dxa"/>
            <w:tcBorders>
              <w:top w:val="single" w:color="000000" w:sz="4" w:space="0"/>
              <w:left w:val="nil"/>
              <w:bottom w:val="single" w:color="000000" w:sz="4" w:space="0"/>
              <w:right w:val="single" w:color="000000" w:sz="4" w:space="0"/>
            </w:tcBorders>
            <w:shd w:val="clear" w:color="auto" w:fill="auto"/>
            <w:noWrap/>
            <w:vAlign w:val="center"/>
          </w:tcPr>
          <w:p w14:paraId="59DB1C32">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20AC">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12E8F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AD1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670332C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脱脂紫铜管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0151">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1、φ15*1.0；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2、管道试压、冲洗、脱脂处理</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CDD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86C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109.0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731F">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423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vAlign w:val="center"/>
          </w:tcPr>
          <w:p w14:paraId="454BC809">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4A7C8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65A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5E5A4C5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脱脂紫铜管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2957">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1、φ10*1.0；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2、管道试压、冲洗、脱脂处理</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CAD4">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DF6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112.20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8569">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9E55">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399C617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5F254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7A5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4B1E79F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氧气截止阀</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57CC">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φ10</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589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7753">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46E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6DD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581064EF">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10C0D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C98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40560F1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铜球阀</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BBAA">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DN20，含活接配件</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28D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563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57B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2FD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5B7E4FDB">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4F0F4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1E7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33F45E3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二气报警器</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7B6D">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声光报警、二气</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EB0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CDE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7FD2">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BB6B">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0A906BD8">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16D03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C58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2D9AA17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管道支架制作及安装</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4DD1">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3#角钢制作，刷防锈漆2遍</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00E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KG</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B9C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98.0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27F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49B72">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2497DE85">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5D1D0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793" w:type="dxa"/>
            <w:gridSpan w:val="3"/>
            <w:tcBorders>
              <w:top w:val="single" w:color="000000" w:sz="4" w:space="0"/>
              <w:left w:val="single" w:color="000000" w:sz="4" w:space="0"/>
              <w:bottom w:val="single" w:color="000000" w:sz="4" w:space="0"/>
              <w:right w:val="nil"/>
            </w:tcBorders>
            <w:shd w:val="clear" w:color="auto" w:fill="auto"/>
            <w:noWrap/>
            <w:vAlign w:val="center"/>
          </w:tcPr>
          <w:p w14:paraId="5BE38664">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二、负压管路系统</w:t>
            </w:r>
          </w:p>
        </w:tc>
        <w:tc>
          <w:tcPr>
            <w:tcW w:w="525" w:type="dxa"/>
            <w:tcBorders>
              <w:top w:val="single" w:color="000000" w:sz="4" w:space="0"/>
              <w:left w:val="nil"/>
              <w:bottom w:val="single" w:color="000000" w:sz="4" w:space="0"/>
              <w:right w:val="nil"/>
            </w:tcBorders>
            <w:shd w:val="clear" w:color="auto" w:fill="auto"/>
            <w:noWrap/>
            <w:vAlign w:val="center"/>
          </w:tcPr>
          <w:p w14:paraId="56DB9FAA">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960" w:type="dxa"/>
            <w:tcBorders>
              <w:top w:val="single" w:color="000000" w:sz="4" w:space="0"/>
              <w:left w:val="nil"/>
              <w:bottom w:val="single" w:color="000000" w:sz="4" w:space="0"/>
              <w:right w:val="nil"/>
            </w:tcBorders>
            <w:shd w:val="clear" w:color="auto" w:fill="auto"/>
            <w:noWrap/>
            <w:vAlign w:val="center"/>
          </w:tcPr>
          <w:p w14:paraId="6A7C221B">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1080" w:type="dxa"/>
            <w:tcBorders>
              <w:top w:val="single" w:color="000000" w:sz="4" w:space="0"/>
              <w:left w:val="nil"/>
              <w:bottom w:val="single" w:color="000000" w:sz="4" w:space="0"/>
              <w:right w:val="nil"/>
            </w:tcBorders>
            <w:shd w:val="clear" w:color="auto" w:fill="auto"/>
            <w:noWrap/>
            <w:vAlign w:val="center"/>
          </w:tcPr>
          <w:p w14:paraId="5774F634">
            <w:pPr>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0"/>
                <w:szCs w:val="20"/>
                <w:u w:val="none"/>
              </w:rPr>
            </w:pPr>
          </w:p>
        </w:tc>
        <w:tc>
          <w:tcPr>
            <w:tcW w:w="1101" w:type="dxa"/>
            <w:tcBorders>
              <w:top w:val="single" w:color="000000" w:sz="4" w:space="0"/>
              <w:left w:val="nil"/>
              <w:bottom w:val="single" w:color="000000" w:sz="4" w:space="0"/>
              <w:right w:val="single" w:color="000000" w:sz="4" w:space="0"/>
            </w:tcBorders>
            <w:shd w:val="clear" w:color="auto" w:fill="auto"/>
            <w:noWrap/>
            <w:vAlign w:val="center"/>
          </w:tcPr>
          <w:p w14:paraId="32D6B069">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1772">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04A8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B91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1C2BDFF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脱脂紫铜管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C9CF">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1、φ28*1.2；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2、管道试压、冲洗、脱脂处理</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ECF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146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109.0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0C1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F158">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vAlign w:val="center"/>
          </w:tcPr>
          <w:p w14:paraId="4B0CEBBB">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31375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5F3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5A108D44">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脱脂紫铜管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7F42">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1、φ12*1.0；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2、管道试压、冲洗、脱脂处理</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8A2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935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112.20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CC25">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4044">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E85205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5C86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3F74">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6DAEFF6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铜球阀</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3FAD">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DN28，含活接配件</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6E44">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760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1B99">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32E9">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63C11E80">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39E5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7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F8DE8">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三、终端设备带</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2C44">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2EE8">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DA9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nil"/>
              <w:bottom w:val="single" w:color="000000" w:sz="4" w:space="0"/>
              <w:right w:val="nil"/>
            </w:tcBorders>
            <w:shd w:val="clear" w:color="auto" w:fill="auto"/>
            <w:noWrap/>
            <w:vAlign w:val="center"/>
          </w:tcPr>
          <w:p w14:paraId="58412230">
            <w:pPr>
              <w:kinsoku/>
              <w:wordWrap/>
              <w:overflowPunct/>
              <w:topLinePunct w:val="0"/>
              <w:autoSpaceDE/>
              <w:autoSpaceDN/>
              <w:bidi w:val="0"/>
              <w:adjustRightInd/>
              <w:spacing w:line="360" w:lineRule="auto"/>
              <w:jc w:val="left"/>
              <w:rPr>
                <w:rFonts w:hint="eastAsia" w:ascii="宋体" w:hAnsi="宋体" w:eastAsia="宋体" w:cs="宋体"/>
                <w:b/>
                <w:bCs/>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3D1EB21E">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3259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909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440" w:type="dxa"/>
            <w:tcBorders>
              <w:top w:val="single" w:color="000000" w:sz="4" w:space="0"/>
              <w:left w:val="single" w:color="000000" w:sz="4" w:space="0"/>
              <w:bottom w:val="single" w:color="000000" w:sz="4" w:space="0"/>
              <w:right w:val="nil"/>
            </w:tcBorders>
            <w:shd w:val="clear" w:color="auto" w:fill="auto"/>
            <w:vAlign w:val="center"/>
          </w:tcPr>
          <w:p w14:paraId="60BB253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豪华型终端设备带</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1F57">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1.名称:医疗设备带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2.材质：优质高强度铝合金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3.尺寸：220*60MM 厚度不小于2.0mm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4.具有三腔结构，实现气、强弱电分离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5.面板、底板分体组合，便于检修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6.表面喷塑防菌涂层，颜色图案可按要求订制</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EE0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F15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63.4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5FD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4B6F">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8CD9C9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1484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783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0251FDB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医用氧气终端</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7D32">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1.按压式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2.材质：金属</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3.具有防插错结构功能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4.具有二次插拨锁紧保护功能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5.内部具有单向阀芯，维修不用停气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6.按CEA4-1标准脱脂清洗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7.符合CE认证</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AC60">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B65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448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2902">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104DCC9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334E0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BF0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65D8465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医用吸引终端</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1ADF">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1.按压式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2.材质：金属</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3.具有防插错结构功能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4.具有二次插拨锁紧保护功能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5.内部具有单向阀芯，维修不用停气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6.按CEA4-1标准脱脂清洗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7.符合CE认证</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53C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CFE4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B0D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41AD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69F6F6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74536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3EA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1AF2DC4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医气终端组件</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65B1">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含活接头</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85E3">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43F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68.0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94A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B3B8">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2CA3235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10BE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ADD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574DB9C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五孔插座</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928B">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86系列、10A</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9E8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2BB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68.0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515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82E4">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608102C6">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0695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6BD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549322A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灯开关</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4542">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一位、10A</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A8A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236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EE6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96B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D347B0C">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2B63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8A5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237ED89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床头灯</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B263">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T5 LED 含灯罩</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D78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D88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711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B3AF">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AE7A4A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52398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DFB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6398E27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电源导线</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49C6">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BVV-2.5mm2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55B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A4F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210.0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B36F">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BCD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C41DDB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4784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A25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0C4EE62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设备带堵头板</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4BCE">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PP环保塑料制作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C60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75A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B013">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F3C0">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1341E9A0">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0F1D7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F4C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09BE0F9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医气终端装饰圈</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8753">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PP环保塑料制作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496F">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0A53">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68.0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F0D9">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B0F9">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71A90544">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4DDF9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F87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7BAAF7A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电线套管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0546">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2、PVC套管；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2A1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8D3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70.0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B83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C7CE">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52C0DB2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76F0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462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55138AA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氧气进户管预埋套管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4C1F">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2、PVC套管；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ED5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005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100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AF12">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36376A16">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4059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A13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1440" w:type="dxa"/>
            <w:tcBorders>
              <w:top w:val="single" w:color="000000" w:sz="4" w:space="0"/>
              <w:left w:val="single" w:color="000000" w:sz="4" w:space="0"/>
              <w:bottom w:val="single" w:color="000000" w:sz="4" w:space="0"/>
              <w:right w:val="nil"/>
            </w:tcBorders>
            <w:shd w:val="clear" w:color="auto" w:fill="auto"/>
            <w:noWrap/>
            <w:vAlign w:val="center"/>
          </w:tcPr>
          <w:p w14:paraId="7625B3D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吸引进户管预埋套管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0B87">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1、φ20；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2、PVC套管；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F9B5">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D65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AB70">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5D7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nil"/>
              <w:bottom w:val="single" w:color="000000" w:sz="4" w:space="0"/>
              <w:right w:val="single" w:color="000000" w:sz="4" w:space="0"/>
            </w:tcBorders>
            <w:shd w:val="clear" w:color="auto" w:fill="auto"/>
            <w:noWrap/>
            <w:vAlign w:val="center"/>
          </w:tcPr>
          <w:p w14:paraId="41CF51CE">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0ACB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793" w:type="dxa"/>
            <w:gridSpan w:val="3"/>
            <w:tcBorders>
              <w:top w:val="single" w:color="000000" w:sz="4" w:space="0"/>
              <w:left w:val="single" w:color="000000" w:sz="4" w:space="0"/>
              <w:bottom w:val="nil"/>
              <w:right w:val="single" w:color="000000" w:sz="4" w:space="0"/>
            </w:tcBorders>
            <w:shd w:val="clear" w:color="auto" w:fill="auto"/>
            <w:vAlign w:val="center"/>
          </w:tcPr>
          <w:p w14:paraId="07586D0B">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四、医用传呼对讲系统</w:t>
            </w:r>
          </w:p>
        </w:tc>
        <w:tc>
          <w:tcPr>
            <w:tcW w:w="525" w:type="dxa"/>
            <w:tcBorders>
              <w:top w:val="nil"/>
              <w:left w:val="nil"/>
              <w:bottom w:val="nil"/>
              <w:right w:val="nil"/>
            </w:tcBorders>
            <w:shd w:val="clear" w:color="auto" w:fill="auto"/>
            <w:vAlign w:val="center"/>
          </w:tcPr>
          <w:p w14:paraId="3B74E667">
            <w:pPr>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0"/>
                <w:szCs w:val="20"/>
                <w:u w:val="none"/>
              </w:rPr>
            </w:pPr>
          </w:p>
        </w:tc>
        <w:tc>
          <w:tcPr>
            <w:tcW w:w="960" w:type="dxa"/>
            <w:tcBorders>
              <w:top w:val="nil"/>
              <w:left w:val="nil"/>
              <w:bottom w:val="nil"/>
              <w:right w:val="nil"/>
            </w:tcBorders>
            <w:shd w:val="clear" w:color="auto" w:fill="auto"/>
            <w:noWrap/>
            <w:vAlign w:val="center"/>
          </w:tcPr>
          <w:p w14:paraId="5E9A5546">
            <w:pPr>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0"/>
                <w:szCs w:val="20"/>
                <w:u w:val="none"/>
              </w:rPr>
            </w:pPr>
          </w:p>
        </w:tc>
        <w:tc>
          <w:tcPr>
            <w:tcW w:w="1080" w:type="dxa"/>
            <w:tcBorders>
              <w:top w:val="nil"/>
              <w:left w:val="nil"/>
              <w:bottom w:val="nil"/>
              <w:right w:val="nil"/>
            </w:tcBorders>
            <w:shd w:val="clear" w:color="auto" w:fill="auto"/>
            <w:vAlign w:val="center"/>
          </w:tcPr>
          <w:p w14:paraId="2D53C535">
            <w:pPr>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0"/>
                <w:szCs w:val="20"/>
                <w:u w:val="none"/>
              </w:rPr>
            </w:pPr>
          </w:p>
        </w:tc>
        <w:tc>
          <w:tcPr>
            <w:tcW w:w="1101" w:type="dxa"/>
            <w:tcBorders>
              <w:top w:val="nil"/>
              <w:left w:val="single" w:color="000000" w:sz="4" w:space="0"/>
              <w:bottom w:val="nil"/>
              <w:right w:val="single" w:color="000000" w:sz="4" w:space="0"/>
            </w:tcBorders>
            <w:shd w:val="clear" w:color="auto" w:fill="auto"/>
            <w:noWrap/>
            <w:vAlign w:val="center"/>
          </w:tcPr>
          <w:p w14:paraId="1A36CBD4">
            <w:pPr>
              <w:kinsoku/>
              <w:wordWrap/>
              <w:overflowPunct/>
              <w:topLinePunct w:val="0"/>
              <w:autoSpaceDE/>
              <w:autoSpaceDN/>
              <w:bidi w:val="0"/>
              <w:adjustRightInd/>
              <w:spacing w:line="360" w:lineRule="auto"/>
              <w:jc w:val="center"/>
              <w:rPr>
                <w:rFonts w:hint="eastAsia" w:ascii="宋体" w:hAnsi="宋体" w:eastAsia="宋体" w:cs="宋体"/>
                <w:b/>
                <w:bCs/>
                <w:i w:val="0"/>
                <w:iCs w:val="0"/>
                <w:color w:val="auto"/>
                <w:sz w:val="20"/>
                <w:szCs w:val="20"/>
                <w:u w:val="none"/>
              </w:rPr>
            </w:pPr>
          </w:p>
        </w:tc>
        <w:tc>
          <w:tcPr>
            <w:tcW w:w="661" w:type="dxa"/>
            <w:tcBorders>
              <w:top w:val="nil"/>
              <w:left w:val="nil"/>
              <w:bottom w:val="nil"/>
              <w:right w:val="nil"/>
            </w:tcBorders>
            <w:shd w:val="clear" w:color="auto" w:fill="auto"/>
            <w:noWrap/>
            <w:vAlign w:val="center"/>
          </w:tcPr>
          <w:p w14:paraId="51290A84">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605BB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C901">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DF7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智能医用呼叫系统主机</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8721">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QW-86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48F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78A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9140">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5F2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8A48">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6C86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487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BC6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系统走廊数码屏</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DE5A">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QW-D4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009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AF5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2C0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9A67">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A9BB">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7FA10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D157">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88DE">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床头分机</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95592">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QW-F16</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0D7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E1C0">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34.0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9842">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9C3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EF1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4A48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D38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8EF9">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卫生间防水分机</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E613">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QW-F20</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488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AE6A">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CAB5">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81A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0431">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61A3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CC43">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330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底盒</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C27E">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86型 </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6A6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2000">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878F">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56FA">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8636">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29A1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A88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F07D">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信号线</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7A5A">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RVV2*0.75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4639">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E7CC">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276.0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E51D">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6F74">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045C">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r w14:paraId="21D2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800B">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26B8">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线管</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FEA0">
            <w:pPr>
              <w:keepNext w:val="0"/>
              <w:keepLines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PVC20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3CFE">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321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210.0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2026">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3B052">
            <w:pPr>
              <w:keepNext w:val="0"/>
              <w:keepLines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auto"/>
                <w:sz w:val="20"/>
                <w:szCs w:val="20"/>
                <w:u w:val="none"/>
              </w:rPr>
            </w:pP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1295">
            <w:pPr>
              <w:kinsoku/>
              <w:wordWrap/>
              <w:overflowPunct/>
              <w:topLinePunct w:val="0"/>
              <w:autoSpaceDE/>
              <w:autoSpaceDN/>
              <w:bidi w:val="0"/>
              <w:adjustRightInd/>
              <w:spacing w:line="360" w:lineRule="auto"/>
              <w:jc w:val="center"/>
              <w:rPr>
                <w:rFonts w:hint="eastAsia" w:ascii="宋体" w:hAnsi="宋体" w:eastAsia="宋体" w:cs="宋体"/>
                <w:i w:val="0"/>
                <w:iCs w:val="0"/>
                <w:color w:val="auto"/>
                <w:sz w:val="20"/>
                <w:szCs w:val="20"/>
                <w:u w:val="none"/>
              </w:rPr>
            </w:pPr>
          </w:p>
        </w:tc>
      </w:tr>
    </w:tbl>
    <w:p w14:paraId="514E74A3">
      <w:pPr>
        <w:tabs>
          <w:tab w:val="left" w:pos="480"/>
          <w:tab w:val="left" w:pos="720"/>
        </w:tabs>
        <w:spacing w:line="360" w:lineRule="auto"/>
        <w:rPr>
          <w:color w:val="auto"/>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C21F8"/>
    <w:multiLevelType w:val="singleLevel"/>
    <w:tmpl w:val="B4AC21F8"/>
    <w:lvl w:ilvl="0" w:tentative="0">
      <w:start w:val="3"/>
      <w:numFmt w:val="chineseCounting"/>
      <w:suff w:val="nothing"/>
      <w:lvlText w:val="（%1）"/>
      <w:lvlJc w:val="left"/>
      <w:rPr>
        <w:rFonts w:hint="eastAsia"/>
      </w:rPr>
    </w:lvl>
  </w:abstractNum>
  <w:abstractNum w:abstractNumId="1">
    <w:nsid w:val="BF9C01D5"/>
    <w:multiLevelType w:val="singleLevel"/>
    <w:tmpl w:val="BF9C01D5"/>
    <w:lvl w:ilvl="0" w:tentative="0">
      <w:start w:val="2"/>
      <w:numFmt w:val="chineseCounting"/>
      <w:suff w:val="space"/>
      <w:lvlText w:val="%1、"/>
      <w:lvlJc w:val="left"/>
      <w:rPr>
        <w:rFonts w:hint="eastAsia"/>
      </w:rPr>
    </w:lvl>
  </w:abstractNum>
  <w:abstractNum w:abstractNumId="2">
    <w:nsid w:val="C9C5D254"/>
    <w:multiLevelType w:val="singleLevel"/>
    <w:tmpl w:val="C9C5D254"/>
    <w:lvl w:ilvl="0" w:tentative="0">
      <w:start w:val="1"/>
      <w:numFmt w:val="upperLetter"/>
      <w:suff w:val="nothing"/>
      <w:lvlText w:val="%1."/>
      <w:lvlJc w:val="left"/>
      <w:pPr>
        <w:ind w:left="425" w:hanging="425"/>
      </w:pPr>
      <w:rPr>
        <w:rFonts w:hint="default"/>
      </w:rPr>
    </w:lvl>
  </w:abstractNum>
  <w:abstractNum w:abstractNumId="3">
    <w:nsid w:val="CA2BC8B6"/>
    <w:multiLevelType w:val="singleLevel"/>
    <w:tmpl w:val="CA2BC8B6"/>
    <w:lvl w:ilvl="0" w:tentative="0">
      <w:start w:val="1"/>
      <w:numFmt w:val="decimal"/>
      <w:suff w:val="nothing"/>
      <w:lvlText w:val="%1、"/>
      <w:lvlJc w:val="left"/>
    </w:lvl>
  </w:abstractNum>
  <w:abstractNum w:abstractNumId="4">
    <w:nsid w:val="4D9D71FB"/>
    <w:multiLevelType w:val="singleLevel"/>
    <w:tmpl w:val="4D9D71FB"/>
    <w:lvl w:ilvl="0" w:tentative="0">
      <w:start w:val="1"/>
      <w:numFmt w:val="decimal"/>
      <w:suff w:val="nothing"/>
      <w:lvlText w:val="（%1）"/>
      <w:lvlJc w:val="left"/>
      <w:pPr>
        <w:ind w:left="420" w:leftChars="0" w:firstLine="0" w:firstLineChars="0"/>
      </w:pPr>
    </w:lvl>
  </w:abstractNum>
  <w:abstractNum w:abstractNumId="5">
    <w:nsid w:val="78AA6733"/>
    <w:multiLevelType w:val="multilevel"/>
    <w:tmpl w:val="78AA6733"/>
    <w:lvl w:ilvl="0" w:tentative="0">
      <w:start w:val="1"/>
      <w:numFmt w:val="chineseCountingThousand"/>
      <w:pStyle w:val="2"/>
      <w:lvlText w:val="第%1章 "/>
      <w:lvlJc w:val="left"/>
      <w:pPr>
        <w:ind w:left="4956" w:hanging="42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2."/>
      <w:lvlJc w:val="left"/>
      <w:pPr>
        <w:ind w:left="360" w:hanging="360"/>
      </w:pPr>
      <w:rPr>
        <w:rFonts w:hint="default"/>
      </w:rPr>
    </w:lvl>
    <w:lvl w:ilvl="2" w:tentative="0">
      <w:start w:val="9"/>
      <w:numFmt w:val="japaneseCounting"/>
      <w:lvlText w:val="%3、"/>
      <w:lvlJc w:val="left"/>
      <w:pPr>
        <w:ind w:left="776" w:hanging="450"/>
      </w:pPr>
      <w:rPr>
        <w:rFonts w:hint="default"/>
      </w:rPr>
    </w:lvl>
    <w:lvl w:ilvl="3" w:tentative="0">
      <w:start w:val="1"/>
      <w:numFmt w:val="decimal"/>
      <w:lvlText w:val="%2.%3.%4"/>
      <w:lvlJc w:val="left"/>
      <w:pPr>
        <w:ind w:left="1459" w:hanging="708"/>
      </w:pPr>
      <w:rPr>
        <w:rFonts w:hint="eastAsia"/>
      </w:rPr>
    </w:lvl>
    <w:lvl w:ilvl="4" w:tentative="0">
      <w:start w:val="1"/>
      <w:numFmt w:val="decimal"/>
      <w:lvlText w:val="%2.%3.%4.%5"/>
      <w:lvlJc w:val="left"/>
      <w:pPr>
        <w:ind w:left="2026" w:hanging="850"/>
      </w:pPr>
      <w:rPr>
        <w:rFonts w:hint="eastAsia"/>
      </w:rPr>
    </w:lvl>
    <w:lvl w:ilvl="5" w:tentative="0">
      <w:start w:val="1"/>
      <w:numFmt w:val="decimal"/>
      <w:lvlText w:val="%2.%3.%4.%5.%6"/>
      <w:lvlJc w:val="left"/>
      <w:pPr>
        <w:ind w:left="2735" w:hanging="1134"/>
      </w:pPr>
      <w:rPr>
        <w:rFonts w:hint="eastAsia"/>
      </w:rPr>
    </w:lvl>
    <w:lvl w:ilvl="6" w:tentative="0">
      <w:start w:val="1"/>
      <w:numFmt w:val="decimal"/>
      <w:lvlText w:val="%1.%2.%3.%4.%5.%6.%7"/>
      <w:lvlJc w:val="left"/>
      <w:pPr>
        <w:ind w:left="3302" w:hanging="1276"/>
      </w:pPr>
      <w:rPr>
        <w:rFonts w:hint="eastAsia"/>
      </w:rPr>
    </w:lvl>
    <w:lvl w:ilvl="7" w:tentative="0">
      <w:start w:val="1"/>
      <w:numFmt w:val="decimal"/>
      <w:lvlText w:val="%1.%2.%3.%4.%5.%6.%7.%8"/>
      <w:lvlJc w:val="left"/>
      <w:pPr>
        <w:ind w:left="3869" w:hanging="1418"/>
      </w:pPr>
      <w:rPr>
        <w:rFonts w:hint="eastAsia"/>
      </w:rPr>
    </w:lvl>
    <w:lvl w:ilvl="8" w:tentative="0">
      <w:start w:val="1"/>
      <w:numFmt w:val="decimal"/>
      <w:lvlText w:val="%1.%2.%3.%4.%5.%6.%7.%8.%9"/>
      <w:lvlJc w:val="left"/>
      <w:pPr>
        <w:ind w:left="4577" w:hanging="1700"/>
      </w:pPr>
      <w:rPr>
        <w:rFonts w:hint="eastAsia"/>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783E21"/>
    <w:rsid w:val="01834BF4"/>
    <w:rsid w:val="05B25AA4"/>
    <w:rsid w:val="0FE4264A"/>
    <w:rsid w:val="1389265B"/>
    <w:rsid w:val="1F9B46CC"/>
    <w:rsid w:val="25783E21"/>
    <w:rsid w:val="2F0C4BC6"/>
    <w:rsid w:val="3F876C19"/>
    <w:rsid w:val="407550F0"/>
    <w:rsid w:val="40F61EED"/>
    <w:rsid w:val="43C002B6"/>
    <w:rsid w:val="4DD26FEB"/>
    <w:rsid w:val="4E9E3EF0"/>
    <w:rsid w:val="51B57DF5"/>
    <w:rsid w:val="54314A0C"/>
    <w:rsid w:val="5C37204F"/>
    <w:rsid w:val="5EA42053"/>
    <w:rsid w:val="61DE2986"/>
    <w:rsid w:val="6C5F31D4"/>
    <w:rsid w:val="70B40883"/>
    <w:rsid w:val="7E3A4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pageBreakBefore/>
      <w:numPr>
        <w:ilvl w:val="0"/>
        <w:numId w:val="1"/>
      </w:numPr>
      <w:spacing w:before="340" w:after="330" w:line="576" w:lineRule="auto"/>
      <w:ind w:left="3675"/>
      <w:outlineLvl w:val="0"/>
    </w:pPr>
    <w:rPr>
      <w:b/>
      <w:kern w:val="44"/>
      <w:sz w:val="44"/>
    </w:rPr>
  </w:style>
  <w:style w:type="paragraph" w:styleId="3">
    <w:name w:val="heading 2"/>
    <w:basedOn w:val="1"/>
    <w:next w:val="1"/>
    <w:unhideWhenUsed/>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ody Text"/>
    <w:basedOn w:val="1"/>
    <w:qFormat/>
    <w:uiPriority w:val="0"/>
    <w:pPr>
      <w:spacing w:line="480" w:lineRule="atLeast"/>
    </w:pPr>
    <w:rPr>
      <w:rFonts w:ascii="楷体_GB2312" w:eastAsia="楷体_GB2312"/>
      <w:b/>
      <w:sz w:val="30"/>
    </w:rPr>
  </w:style>
  <w:style w:type="paragraph" w:styleId="7">
    <w:name w:val="Plain Text"/>
    <w:basedOn w:val="1"/>
    <w:qFormat/>
    <w:uiPriority w:val="0"/>
    <w:rPr>
      <w:rFonts w:hAnsi="Courier New" w:cs="Courier New"/>
      <w:szCs w:val="21"/>
    </w:rPr>
  </w:style>
  <w:style w:type="paragraph" w:styleId="8">
    <w:name w:val="Normal (Web)"/>
    <w:basedOn w:val="1"/>
    <w:qFormat/>
    <w:uiPriority w:val="0"/>
    <w:pPr>
      <w:widowControl/>
      <w:spacing w:before="100" w:beforeLines="0" w:beforeAutospacing="1" w:after="100" w:afterLines="0" w:afterAutospacing="1"/>
      <w:jc w:val="left"/>
    </w:pPr>
    <w:rPr>
      <w:rFonts w:ascii="Times New Roman" w:hAnsi="Times New Roman" w:eastAsia="宋体" w:cs="Times New Roman"/>
      <w:kern w:val="0"/>
      <w:sz w:val="24"/>
      <w:szCs w:val="24"/>
      <w:lang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OC 标题2"/>
    <w:basedOn w:val="2"/>
    <w:next w:val="1"/>
    <w:qFormat/>
    <w:uiPriority w:val="0"/>
    <w:pPr>
      <w:keepNext/>
      <w:keepLines/>
      <w:widowControl/>
      <w:spacing w:before="240" w:after="120" w:line="276" w:lineRule="auto"/>
      <w:ind w:left="3680" w:hanging="425"/>
      <w:jc w:val="left"/>
      <w:outlineLvl w:val="9"/>
    </w:pPr>
    <w:rPr>
      <w:rFonts w:ascii="Cambria" w:hAnsi="Cambria"/>
      <w:bCs/>
      <w:kern w:val="0"/>
      <w:sz w:val="28"/>
      <w:szCs w:val="28"/>
    </w:rPr>
  </w:style>
  <w:style w:type="paragraph" w:customStyle="1" w:styleId="13">
    <w:name w:val="保留正文"/>
    <w:basedOn w:val="6"/>
    <w:qFormat/>
    <w:uiPriority w:val="0"/>
    <w:pPr>
      <w:keepNext/>
      <w:autoSpaceDE/>
      <w:autoSpaceDN/>
      <w:adjustRightInd/>
      <w:spacing w:after="160"/>
      <w:ind w:right="0"/>
      <w:jc w:val="both"/>
    </w:pPr>
    <w:rPr>
      <w:rFonts w:ascii="Times New Roman"/>
      <w:b w:val="0"/>
      <w:sz w:val="21"/>
      <w:szCs w:val="24"/>
      <w:lang w:val="en-US"/>
    </w:rPr>
  </w:style>
  <w:style w:type="paragraph" w:customStyle="1" w:styleId="14">
    <w:name w:val="正文缩进2格"/>
    <w:basedOn w:val="1"/>
    <w:qFormat/>
    <w:uiPriority w:val="99"/>
    <w:pPr>
      <w:autoSpaceDE/>
      <w:autoSpaceDN/>
      <w:adjustRightInd/>
      <w:spacing w:line="600" w:lineRule="exact"/>
      <w:ind w:firstLine="639" w:firstLineChars="206"/>
      <w:jc w:val="both"/>
    </w:pPr>
    <w:rPr>
      <w:rFonts w:ascii="仿宋_GB2312" w:hAnsi="宋体" w:eastAsia="仿宋_GB2312"/>
      <w:kern w:val="2"/>
      <w:sz w:val="31"/>
      <w:szCs w:val="28"/>
    </w:rPr>
  </w:style>
  <w:style w:type="paragraph" w:customStyle="1" w:styleId="15">
    <w:name w:val="标准正文"/>
    <w:basedOn w:val="1"/>
    <w:qFormat/>
    <w:uiPriority w:val="0"/>
    <w:pPr>
      <w:spacing w:line="360" w:lineRule="auto"/>
      <w:ind w:firstLine="480" w:firstLineChars="200"/>
      <w:jc w:val="left"/>
    </w:pPr>
    <w:rPr>
      <w:rFonts w:ascii="宋体" w:hAnsi="宋体"/>
      <w:kern w:val="0"/>
      <w:sz w:val="24"/>
      <w:szCs w:val="24"/>
    </w:rPr>
  </w:style>
  <w:style w:type="paragraph" w:customStyle="1" w:styleId="16">
    <w:name w:val="List Paragraph"/>
    <w:basedOn w:val="1"/>
    <w:qFormat/>
    <w:uiPriority w:val="0"/>
    <w:pPr>
      <w:ind w:firstLine="420" w:firstLineChars="200"/>
    </w:pPr>
  </w:style>
  <w:style w:type="paragraph" w:customStyle="1" w:styleId="1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7042</Words>
  <Characters>7867</Characters>
  <Lines>0</Lines>
  <Paragraphs>0</Paragraphs>
  <TotalTime>6</TotalTime>
  <ScaleCrop>false</ScaleCrop>
  <LinksUpToDate>false</LinksUpToDate>
  <CharactersWithSpaces>8259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2022-01-11T03:17:00Z</dcterms:created>
  <dc:creator>胜</dc:creator>
  <cp:lastModifiedBy>杨秀芬</cp:lastModifiedBy>
  <dcterms:modified xsi:type="dcterms:W3CDTF">2025-10-22T07:22:22Z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E34D399CC8DF45D59255C8FF69BCD804_13</vt:lpwstr>
  </property>
  <property fmtid="{D5CDD505-2E9C-101B-9397-08002B2CF9AE}" pid="4" name="KSOTemplateDocerSaveRecord">
    <vt:lpwstr>eyJoZGlkIjoiZTY3MzI5Y2NjNDlmYjVmMTNkZTBjNmExYzQ2ZjVkMTEiLCJ1c2VySWQiOiI2NjYxMDA1NDYifQ==</vt:lpwstr>
  </property>
</Properties>
</file>